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An ablation shows the DQN agent is queue-aware rather than congestion-aware.</w:t>
      </w:r>
    </w:p>
    <w:p>
      <w:pPr>
        <w:spacing w:after="120" w:line="336"/>
        <w:jc w:val="both"/>
      </w:pPr>
      <w:r>
        <w:rPr>
          <w:rFonts w:ascii="Times New Roman" w:cs="Times New Roman" w:eastAsia="Times New Roman" w:hAnsi="Times New Roman"/>
        </w:rPr>
        <w:t xml:space="preserve">On the held-out test split — 100 paired episodes at three arrival rates, evaluated once — </w:t>
      </w:r>
      <w:r>
        <w:rPr>
          <w:rFonts w:ascii="Times New Roman" w:cs="Times New Roman" w:eastAsia="Times New Roman" w:hAnsi="Times New Roman"/>
          <w:b/>
          <w:bCs/>
        </w:rPr>
        <w:t xml:space="preserve">no adaptive policy beats greedy batching on tail latency</w:t>
      </w:r>
      <w:r>
        <w:rPr>
          <w:rFonts w:ascii="Times New Roman" w:cs="Times New Roman" w:eastAsia="Times New Roman" w:hAnsi="Times New Roman"/>
        </w:rPr>
        <w:t xml:space="preserve">: where capacity rarely binds, greedy is latency-optimal. The result is therefore a trade-off frontier rather than dominance. At the matched rate the optimizer with a minimum batch of four cuts per-user cost by 19 % for 5 % more tail latency and Pareto-dominates the tuned fixed-interval baseline by median; the DQN agent cuts cost by 43 % with the best fairness of any proposed policy, but one of its five seeds breaks down under heavy load.</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keepNext/>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keepNext/>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8.12.</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keepNext/>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keepNext/>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keepNext/>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keepNext/>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keepNext/>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keepNext/>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 on-chain (optional)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Aiken</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Pure-Python transaction building; modern Cardano contract language</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keepNext/>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keepNext/>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keepNext/>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keepNext/>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repeated across the horizon; a second naive baseline, </w:t>
      </w:r>
      <w:r>
        <w:rPr>
          <w:rFonts w:ascii="Times New Roman" w:cs="Times New Roman" w:eastAsia="Times New Roman" w:hAnsi="Times New Roman"/>
          <w:b/>
          <w:bCs/>
        </w:rPr>
        <w:t xml:space="preserve">E4b</w:t>
      </w:r>
      <w:r>
        <w:rPr>
          <w:rFonts w:ascii="Times New Roman" w:cs="Times New Roman" w:eastAsia="Times New Roman" w:hAnsi="Times New Roman"/>
        </w:rPr>
        <w:t xml:space="preserve">, decays from the current block toward that mean and was added for ablation A2 (Section 8.10).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keepNext/>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(size, execution units, fee, Gate A, Gate B)</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160" w:line="240"/>
        <w:ind w:left="200"/>
      </w:pPr>
      <w:r>
        <w:rPr>
          <w:rFonts w:ascii="Consolas" w:cs="Consolas" w:eastAsia="Consolas" w:hAnsi="Consolas"/>
          <w:sz w:val="16"/>
          <w:szCs w:val="16"/>
        </w:rPr>
        <w:t xml:space="preserve">tests/       270 tests in 21 files</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spacing w:after="120" w:line="336"/>
        <w:jc w:val="both"/>
      </w:pPr>
      <w:r>
        <w:rPr>
          <w:rFonts w:ascii="Times New Roman" w:cs="Times New Roman" w:eastAsia="Times New Roman" w:hAnsi="Times New Roman"/>
          <w:highlight w:val="yellow"/>
          <w:highlightCs w:val="yellow"/>
        </w:rPr>
        <w:t xml:space="preserve">Section 6.11 on on-chain validators applies only if the optional Phase 7 live demonstration is completed.</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270 tests in 21 files</w:t>
      </w:r>
      <w:r>
        <w:rPr>
          <w:rFonts w:ascii="Times New Roman" w:cs="Times New Roman" w:eastAsia="Times New Roman" w:hAnsi="Times New Roman"/>
        </w:rPr>
        <w:t xml:space="preserve">, runs on every push in GitHub Actions, and enforces a minimum of 90 % line coverage; measured coverage is 94 %.</w:t>
      </w:r>
    </w:p>
    <w:p>
      <w:pPr>
        <w:keepNext/>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keepNext/>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keepNext/>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unit test, and all 5 committed P3 checkpoints reproduce every recorded metric exactly</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keepNext/>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Defects Found by Testing</w:t>
      </w:r>
    </w:p>
    <w:p>
      <w:pPr>
        <w:keepNext/>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bl>
    <w:p>
      <w:pPr>
        <w:spacing w:after="160"/>
      </w:pPr>
    </w:p>
    <w:p>
      <w:pPr>
        <w:pStyle w:val="Heading2"/>
      </w:pPr>
      <w:r>
        <w:t xml:space="preserve">7.6 Regression Guards for Corrected Assumptions</w:t>
      </w:r>
    </w:p>
    <w:p>
      <w:pPr>
        <w:keepNext/>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Phase 7</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8.5–8.9 and 8.11 report the </w:t>
      </w:r>
      <w:r>
        <w:rPr>
          <w:rFonts w:ascii="Times New Roman" w:cs="Times New Roman" w:eastAsia="Times New Roman" w:hAnsi="Times New Roman"/>
          <w:b/>
          <w:bCs/>
        </w:rPr>
        <w:t xml:space="preserve">held-out test split, evaluated exactly once</w:t>
      </w:r>
      <w:r>
        <w:rPr>
          <w:rFonts w:ascii="Times New Roman" w:cs="Times New Roman" w:eastAsia="Times New Roman" w:hAnsi="Times New Roman"/>
        </w:rPr>
        <w:t xml:space="preserve">: 8 policies × 3 arrival rates × 100 paired episodes, with P3 run for all five seeds and seed-averaged per episode before pairing. Every configuration was fixed on validation beforehand. Validation tables from Phases 4 and 5 are retained for context and labelled as such.</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keepNext/>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keepNext/>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keepNext/>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rPr>
        <w:t xml:space="preserve">Tables 8.4–8.6 give the median over 100 paired test episodes with its 95 % bootstrap confidence interval for the primary metrics. L-p95 and L-mean are in slots, C-user in lovelace, TP in orders settled per 1,000 slots. P2 with N_MIN = 1 was byte-identical to greedy on every metric at every rate and is shown as one row.</w:t>
      </w:r>
    </w:p>
    <w:p>
      <w:pPr>
        <w:keepNext/>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Test split, matched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191.0 [188.0, 193.0]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79,451 [79,341, 79,580]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183.3 [183.0, 185.0]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82,906</w:t>
            </w:r>
            <w:r>
              <w:rPr>
                <w:rFonts w:ascii="Times New Roman" w:cs="Times New Roman" w:eastAsia="Times New Roman" w:hAnsi="Times New Roman"/>
                <w:sz w:val="20"/>
                <w:szCs w:val="20"/>
              </w:rPr>
              <w:t xml:space="preserve"> [82,812, 83,001]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63.4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130.5 [125.5, 137.0]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129,729 [128,962, 131,007]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55.8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119.0</w:t>
            </w:r>
            <w:r>
              <w:rPr>
                <w:rFonts w:ascii="Times New Roman" w:cs="Times New Roman" w:eastAsia="Times New Roman" w:hAnsi="Times New Roman"/>
                <w:sz w:val="20"/>
                <w:szCs w:val="20"/>
              </w:rPr>
              <w:t xml:space="preserve"> [117.2, 121.0]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157,445 [156,022, 159,366]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125.0 [123.0, 126.0]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127,738 [125,776, 129,084]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158.6 [158.0, 160.0]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89,704 [89,273, 92,374]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59.8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124.0 [122.0, 125.0]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124,567 [123,005, 125,696]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Test split, light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188.0 [187.0, 189.8]</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97,556 [97,156, 99,099]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107.7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 [183.4, 185.5]</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99,080</w:t>
            </w:r>
            <w:r>
              <w:rPr>
                <w:rFonts w:ascii="Times New Roman" w:cs="Times New Roman" w:eastAsia="Times New Roman" w:hAnsi="Times New Roman"/>
                <w:sz w:val="20"/>
                <w:szCs w:val="20"/>
              </w:rPr>
              <w:t xml:space="preserve"> [98,552, 100,436]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0.84</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123.0 [122.0, 124.0]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184,974 [183,392, 190,218]</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0.79</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56.5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120.6</w:t>
            </w:r>
            <w:r>
              <w:rPr>
                <w:rFonts w:ascii="Times New Roman" w:cs="Times New Roman" w:eastAsia="Times New Roman" w:hAnsi="Times New Roman"/>
                <w:sz w:val="20"/>
                <w:szCs w:val="20"/>
              </w:rPr>
              <w:t xml:space="preserve"> [119.0, 122.0]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210,933 [209,227, 215,863]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 [139.0, 141.9]</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158,255 [156,602, 164,282]</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170.5 [169.4, 171.1]</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117,670 [116,359, 121,019]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133.3 [132.0, 135.0]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154,965 [153,372, 157,793]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Test split, heavy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260.0 [212.5, 363.0]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72,098 [72,066, 72,153]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0.81</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1,202.8 [851.0, 1,466.0]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78,638</w:t>
            </w:r>
            <w:r>
              <w:rPr>
                <w:rFonts w:ascii="Times New Roman" w:cs="Times New Roman" w:eastAsia="Times New Roman" w:hAnsi="Times New Roman"/>
                <w:sz w:val="20"/>
                <w:szCs w:val="20"/>
              </w:rPr>
              <w:t xml:space="preserve"> [78,612, 78,650]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234.9</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 [192.0, 342.0]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95,427 [94,849, 95,861]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236.1</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0.62</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66.2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162.0</w:t>
            </w:r>
            <w:r>
              <w:rPr>
                <w:rFonts w:ascii="Times New Roman" w:cs="Times New Roman" w:eastAsia="Times New Roman" w:hAnsi="Times New Roman"/>
                <w:sz w:val="20"/>
                <w:szCs w:val="20"/>
              </w:rPr>
              <w:t xml:space="preserve"> [128.0,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116,556 [114,987, 117,637]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164.5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103,022 [101,644, 104,387]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863.3 [444.0, 925.7]</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85,187 [80,508, 96,383]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 [0.03, 0.10]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214.0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0.68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161.5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101,506 [100,807, 102,353]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bl>
    <w:p>
      <w:pPr>
        <w:spacing w:after="160"/>
      </w:pPr>
    </w:p>
    <w:p>
      <w:pPr>
        <w:spacing w:after="120" w:line="336"/>
        <w:jc w:val="both"/>
      </w:pPr>
      <w:r>
        <w:rPr>
          <w:rFonts w:ascii="Times New Roman" w:cs="Times New Roman" w:eastAsia="Times New Roman" w:hAnsi="Times New Roman"/>
        </w:rPr>
        <w:t xml:space="preserve">Bold marks the best value among non-reference policies.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is labelled “deadline only” because in the final environment it never chooses to submit, but the environment forces a submission once the oldest order reaches D_MAX; it therefore behaves as pure deadline batching, which is why it settles orders at all.</w:t>
      </w:r>
    </w:p>
    <w:p>
      <w:pPr>
        <w:spacing w:after="120" w:line="336"/>
        <w:jc w:val="both"/>
      </w:pPr>
      <w:r>
        <w:rPr>
          <w:rFonts w:ascii="Times New Roman" w:cs="Times New Roman" w:eastAsia="Times New Roman" w:hAnsi="Times New Roman"/>
        </w:rPr>
        <w:t xml:space="preserve">Three patterns hold across the tables. </w:t>
      </w:r>
      <w:r>
        <w:rPr>
          <w:rFonts w:ascii="Times New Roman" w:cs="Times New Roman" w:eastAsia="Times New Roman" w:hAnsi="Times New Roman"/>
          <w:b/>
          <w:bCs/>
        </w:rPr>
        <w:t xml:space="preserve">Greedy has the lowest latency at every rate</w:t>
      </w:r>
      <w:r>
        <w:rPr>
          <w:rFonts w:ascii="Times New Roman" w:cs="Times New Roman" w:eastAsia="Times New Roman" w:hAnsi="Times New Roman"/>
        </w:rPr>
        <w:t xml:space="preserve">, and E1 the lowest cost among the non-reference policies. </w:t>
      </w:r>
      <w:r>
        <w:rPr>
          <w:rFonts w:ascii="Times New Roman" w:cs="Times New Roman" w:eastAsia="Times New Roman" w:hAnsi="Times New Roman"/>
          <w:b/>
          <w:bCs/>
        </w:rPr>
        <w:t xml:space="preserve">No policy expires orders</w:t>
      </w:r>
      <w:r>
        <w:rPr>
          <w:rFonts w:ascii="Times New Roman" w:cs="Times New Roman" w:eastAsia="Times New Roman" w:hAnsi="Times New Roman"/>
        </w:rPr>
        <w:t xml:space="preserve"> except P3 at the heavy rate. And </w:t>
      </w:r>
      <w:r>
        <w:rPr>
          <w:rFonts w:ascii="Times New Roman" w:cs="Times New Roman" w:eastAsia="Times New Roman" w:hAnsi="Times New Roman"/>
          <w:b/>
          <w:bCs/>
        </w:rPr>
        <w:t xml:space="preserve">E1, tuned at the matched rate, collapses at the heavy rate</w:t>
      </w:r>
      <w:r>
        <w:rPr>
          <w:rFonts w:ascii="Times New Roman" w:cs="Times New Roman" w:eastAsia="Times New Roman" w:hAnsi="Times New Roman"/>
        </w:rPr>
        <w:t xml:space="preserve"> — tail latency of 1,203 slots and fairness 0.38 — which is precisely the over-fitting to a single arrival rate that the three-rate sweep was designed to expose.</w:t>
      </w:r>
    </w:p>
    <w:p>
      <w:pPr>
        <w:keepNext/>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Paired differences on the test split — median of per-episode differences (candidate − reference) with 95 %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902"/>
        <w:gridCol w:w="2106"/>
        <w:gridCol w:w="2106"/>
        <w:gridCol w:w="2007"/>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Comparison</w:t>
            </w:r>
          </w:p>
        </w:tc>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Metric</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Light</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Matched</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Heavy</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+19.0 [+18.2, +20.3]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 [+5.5, +6.0]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[0.0, +1.0]</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+50.2 [+49.4, +50.8]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+40.2 [+39.4, +41.1]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+547.2 [+31.7, +591.0]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 [+15.0, +18.0]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 [−14.5, +0.5]</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−60.5 [−74.0, −41.0]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−28,120 [−30,797, −25,968]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−2,894 [−3,442, −2,112]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+7,441 [+7,087, +7,903]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 [−14.7, −13.5]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−23.2 [−24.6, −22.2]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−392.2 [−714.6, −95.0]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+18,509 [+17,603, +20,584]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+6,884 [+6,385, +8,530]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+6,547 [+1,880, +17,776]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−68,378 [−71,805, −66,362]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−40,500 [−41,662, −40,051]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−8,479 [−14,432, +2,232]</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 P2 (N=4)</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 [−7.2, −6.0]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[−1.0, −1.0]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r>
    </w:tbl>
    <w:p>
      <w:pPr>
        <w:spacing w:after="160"/>
      </w:pPr>
    </w:p>
    <w:p>
      <w:pPr>
        <w:spacing w:after="120" w:line="336"/>
        <w:jc w:val="both"/>
      </w:pPr>
      <w:r>
        <w:rPr>
          <w:rFonts w:ascii="Times New Roman" w:cs="Times New Roman" w:eastAsia="Times New Roman" w:hAnsi="Times New Roman"/>
        </w:rPr>
        <w:t xml:space="preserve">* significant: Wilcoxon signed-rank with Holm–Bonferroni adjustment within its family, adjusted p &lt;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confidence interval excluding zero. The comparisons against greedy are the pre-registered family (every proposed policy against the best static baseline on each primary metric); the others are a supplementary family chosen to locate each policy on the frontier. Negative is better for both metrics.</w:t>
      </w:r>
    </w:p>
    <w:p>
      <w:pPr>
        <w:spacing w:after="120" w:line="336"/>
        <w:jc w:val="both"/>
      </w:pPr>
      <w:r>
        <w:rPr>
          <w:rFonts w:ascii="Times New Roman" w:cs="Times New Roman" w:eastAsia="Times New Roman" w:hAnsi="Times New Roman"/>
        </w:rPr>
        <w:t xml:space="preserve">For context, the validation split (matched arrival rate, ten paired episodes) swept P2’s minimum batch size and traced this frontier, which is what fixed the configurations evaluated above:</w:t>
      </w:r>
    </w:p>
    <w:p>
      <w:pPr>
        <w:keepNext/>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keepNext/>
        <w:spacing w:before="120"/>
        <w:jc w:val="center"/>
      </w:pPr>
      <w:r>
        <w:drawing>
          <wp:inline distT="0" distB="0" distL="0" distR="0">
            <wp:extent cx="5715000" cy="3724275"/>
            <wp:effectExtent t="0" r="0" b="0" l="0"/>
            <wp:docPr id="1" name="F5_pareto.png" descr="F5 — tail latency against per-user cost, test split, matched rate, with 95 % CIs on both axes" title="F5 — tail latency against per-user cost, test split, matched rate, with 95 % CIs on both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242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F5 — tail latency against per-user cost, test split, matched rate, with 95 % CIs on both axes</w:t>
      </w:r>
    </w:p>
    <w:p>
      <w:pPr>
        <w:spacing w:after="120" w:line="336"/>
        <w:jc w:val="both"/>
      </w:pPr>
      <w:r>
        <w:rPr>
          <w:rFonts w:ascii="Times New Roman" w:cs="Times New Roman" w:eastAsia="Times New Roman" w:hAnsi="Times New Roman"/>
        </w:rPr>
        <w:t xml:space="preserve">At the matched rate the static and proposed policies do not collapse onto one line; they spread along a frontier running from greedy (fastest, most expensive) to E1 (cheapest, slowest). </w:t>
      </w:r>
      <w:r>
        <w:rPr>
          <w:rFonts w:ascii="Times New Roman" w:cs="Times New Roman" w:eastAsia="Times New Roman" w:hAnsi="Times New Roman"/>
          <w:b/>
          <w:bCs/>
        </w:rPr>
        <w:t xml:space="preserve">P2 with N_MIN = 4 Pareto-dominates the tuned E2 by median</w:t>
      </w:r>
      <w:r>
        <w:rPr>
          <w:rFonts w:ascii="Times New Roman" w:cs="Times New Roman" w:eastAsia="Times New Roman" w:hAnsi="Times New Roman"/>
        </w:rPr>
        <w:t xml:space="preserve"> — 125.0 against 130.5 slots and 127,738 against 129,729 lovelace. Paired, the cost saving is significant (−2,894 lovelace) but the latency difference is not (−5.1 slots, CI [−14.5, +0.5]), so the defensible statement is that P2 is </w:t>
      </w:r>
      <w:r>
        <w:rPr>
          <w:rFonts w:ascii="Times New Roman" w:cs="Times New Roman" w:eastAsia="Times New Roman" w:hAnsi="Times New Roman"/>
          <w:b/>
          <w:bCs/>
        </w:rPr>
        <w:t xml:space="preserve">cheaper and no slower</w:t>
      </w:r>
      <w:r>
        <w:rPr>
          <w:rFonts w:ascii="Times New Roman" w:cs="Times New Roman" w:eastAsia="Times New Roman" w:hAnsi="Times New Roman"/>
        </w:rPr>
        <w:t xml:space="preserve"> than E2, not strictly better on both axes. The dominance does not carry to the other rates: at the light rate E2 is 17 slots faster and P2 28,120 lovelace cheaper, and at the heavy rate P2 is 60.5 slots faster but 7,441 lovelace dearer — trade-offs, not dominance.</w:t>
      </w:r>
    </w:p>
    <w:p>
      <w:pPr>
        <w:spacing w:after="120" w:line="336"/>
        <w:jc w:val="both"/>
      </w:pPr>
      <w:r>
        <w:rPr>
          <w:rFonts w:ascii="Times New Roman" w:cs="Times New Roman" w:eastAsia="Times New Roman" w:hAnsi="Times New Roman"/>
          <w:b/>
          <w:bCs/>
        </w:rPr>
        <w:t xml:space="preserve">P3 occupies an operating point no static rule reaches.</w:t>
      </w:r>
      <w:r>
        <w:rPr>
          <w:rFonts w:ascii="Times New Roman" w:cs="Times New Roman" w:eastAsia="Times New Roman" w:hAnsi="Times New Roman"/>
        </w:rPr>
        <w:t xml:space="preserve"> Against E1 it is significantly faster at every rate (23.2 slots at matched) for a modest extra cost (6,884 lovelace); against E2 it is 40,500 lovelace cheaper for 35.8 more slots. Nothing dominates it at the light or matched rate. The ORACLE point sits almost on top of P2: a perfect next-block forecast is worth 1 slot at the matched rate and nothing measurable at the heavy rate — the fourth independent confirmation that forecasting congestion has little to offer </w:t>
      </w:r>
      <w:r>
        <w:rPr>
          <w:rFonts w:ascii="Times New Roman" w:cs="Times New Roman" w:eastAsia="Times New Roman" w:hAnsi="Times New Roman"/>
          <w:i/>
          <w:iCs/>
        </w:rPr>
        <w:t xml:space="preserve">latency</w:t>
      </w:r>
      <w:r>
        <w:rPr>
          <w:rFonts w:ascii="Times New Roman" w:cs="Times New Roman" w:eastAsia="Times New Roman" w:hAnsi="Times New Roman"/>
        </w:rPr>
        <w:t xml:space="preserve"> on this chain. Ablation A2 (Section 8.10) shows where a forecast does matter: in how cheaply P2 can buy larger batches.</w:t>
      </w:r>
    </w:p>
    <w:p>
      <w:pPr>
        <w:spacing w:after="120" w:line="336"/>
        <w:jc w:val="both"/>
      </w:pPr>
      <w:r>
        <w:rPr>
          <w:rFonts w:ascii="Times New Roman" w:cs="Times New Roman" w:eastAsia="Times New Roman" w:hAnsi="Times New Roman"/>
        </w:rPr>
        <w:t xml:space="preserve">The comparison of P3 against the whole P2 sweep below was made on validation; configurations N = 8, 12 and 20 were not carried into the one-shot test run, so that claim is not re-tested here.</w:t>
      </w:r>
    </w:p>
    <w:p>
      <w:pPr>
        <w:keepNext/>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On validation, P3 dominated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was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keepNext/>
        <w:spacing w:before="120"/>
        <w:jc w:val="center"/>
      </w:pPr>
      <w:r>
        <w:drawing>
          <wp:inline distT="0" distB="0" distL="0" distR="0">
            <wp:extent cx="5715000" cy="3305175"/>
            <wp:effectExtent t="0" r="0" b="0" l="0"/>
            <wp:docPr id="1" name="F6_latency_cdf.png" descr="F6 — confirmation latency CDF, test split, matched rate" title="F6 — confirmation latency CDF, test split, match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8.5: </w:t>
      </w:r>
      <w:r>
        <w:rPr>
          <w:rFonts w:ascii="Times New Roman" w:cs="Times New Roman" w:eastAsia="Times New Roman" w:hAnsi="Times New Roman"/>
          <w:i/>
          <w:iCs/>
          <w:sz w:val="22"/>
          <w:szCs w:val="22"/>
        </w:rPr>
        <w:t xml:space="preserve">F6 — confirmation latency CDF, test split, matched rate</w:t>
      </w:r>
    </w:p>
    <w:p>
      <w:pPr>
        <w:spacing w:after="120" w:line="336"/>
        <w:jc w:val="both"/>
      </w:pPr>
      <w:r>
        <w:rPr>
          <w:rFonts w:ascii="Times New Roman" w:cs="Times New Roman" w:eastAsia="Times New Roman" w:hAnsi="Times New Roman"/>
        </w:rPr>
        <w:t xml:space="preserve">F6 pools the settled orders of all 100 matched-rate episodes, so its p95 readings (greedy 118, P2 124, E2 143, P3 164 slots) are quantiles of the pooled distribution and differ slightly from the medians of per-episode p95 in Table 8.4. The curves of greedy, P2 and E2 nearly coincide across the whole distribution; the gain of P2 over E2 is a tail effect, consistent with the non-significant paired latency difference. P3’s curve is shifted right at every quantile — it waits deliberately to build larger batches, 11.1 orders on average against 4.9 for P2 — and it carries a thin long tail: 0.73 % of its orders wait more than 600 slots, up to 3,677, close to the 3,600-slot order lifetime. The quantile table behind the figure is written to </w:t>
      </w:r>
      <w:r>
        <w:rPr>
          <w:rFonts w:ascii="Consolas" w:cs="Consolas" w:eastAsia="Consolas" w:hAnsi="Consolas"/>
          <w:sz w:val="20"/>
          <w:szCs w:val="20"/>
        </w:rPr>
        <w:t xml:space="preserve">tables/F6_latency_quantiles.csv</w:t>
      </w:r>
      <w:r>
        <w:rPr>
          <w:rFonts w:ascii="Times New Roman" w:cs="Times New Roman" w:eastAsia="Times New Roman" w:hAnsi="Times New Roman"/>
        </w:rPr>
        <w:t xml:space="preserve">.</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813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8.6: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Retraining the agent without the forecast (A3, Section 8.10) costs about 4 % of tail latency and nothing in cost — a small, consistent contribution from the forecast, not congestion reasoning.</w:t>
      </w:r>
    </w:p>
    <w:p>
      <w:pPr>
        <w:spacing w:after="120"/>
      </w:pPr>
    </w:p>
    <w:p>
      <w:pPr>
        <w:pStyle w:val="Heading2"/>
      </w:pPr>
      <w:r>
        <w:t xml:space="preserve">8.9 Robustness Across Arrival Rates</w:t>
      </w:r>
    </w:p>
    <w:p>
      <w:pPr>
        <w:keepNext/>
        <w:spacing w:before="120"/>
        <w:jc w:val="center"/>
      </w:pPr>
      <w:r>
        <w:drawing>
          <wp:inline distT="0" distB="0" distL="0" distR="0">
            <wp:extent cx="5715000" cy="2447925"/>
            <wp:effectExtent t="0" r="0" b="0" l="0"/>
            <wp:docPr id="1" name="F8_robustness.png" descr="F8 — tail latency across arrival rates on one shared scale, test split" title="F8 — tail latency across arrival rates on one shared scal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8.7: </w:t>
      </w:r>
      <w:r>
        <w:rPr>
          <w:rFonts w:ascii="Times New Roman" w:cs="Times New Roman" w:eastAsia="Times New Roman" w:hAnsi="Times New Roman"/>
          <w:i/>
          <w:iCs/>
          <w:sz w:val="22"/>
          <w:szCs w:val="22"/>
        </w:rPr>
        <w:t xml:space="preserve">F8 — tail latency across arrival rates on one shared scale, test split</w:t>
      </w:r>
    </w:p>
    <w:p>
      <w:pPr>
        <w:spacing w:after="120" w:line="336"/>
        <w:jc w:val="both"/>
      </w:pPr>
      <w:r>
        <w:rPr>
          <w:rFonts w:ascii="Times New Roman" w:cs="Times New Roman" w:eastAsia="Times New Roman" w:hAnsi="Times New Roman"/>
        </w:rPr>
        <w:t xml:space="preserve">At the light and matched rates every policy stays within a narrow band. At the heavy rate greedy (162.0) and P2 with N_MIN = 4 (164.5) barely move, E2 degrades to 253.5 slots and E1 to 1,203 — the two fixed rules tuned at one rate are the brittle ones. </w:t>
      </w:r>
      <w:r>
        <w:rPr>
          <w:rFonts w:ascii="Times New Roman" w:cs="Times New Roman" w:eastAsia="Times New Roman" w:hAnsi="Times New Roman"/>
          <w:b/>
          <w:bCs/>
        </w:rPr>
        <w:t xml:space="preserve">The adaptive optimizer is the most robust policy across load</w:t>
      </w:r>
      <w:r>
        <w:rPr>
          <w:rFonts w:ascii="Times New Roman" w:cs="Times New Roman" w:eastAsia="Times New Roman" w:hAnsi="Times New Roman"/>
        </w:rPr>
        <w:t xml:space="preserve">: it tracks greedy’s latency at every rate while costing 12–25 % less.</w:t>
      </w:r>
    </w:p>
    <w:p>
      <w:pPr>
        <w:spacing w:after="120" w:line="336"/>
        <w:jc w:val="both"/>
      </w:pPr>
      <w:r>
        <w:rPr>
          <w:rFonts w:ascii="Times New Roman" w:cs="Times New Roman" w:eastAsia="Times New Roman" w:hAnsi="Times New Roman"/>
        </w:rPr>
        <w:t xml:space="preserve">P3’s heavy-rate median of 863 slots is not the behaviour of the agent in general but of </w:t>
      </w:r>
      <w:r>
        <w:rPr>
          <w:rFonts w:ascii="Times New Roman" w:cs="Times New Roman" w:eastAsia="Times New Roman" w:hAnsi="Times New Roman"/>
          <w:b/>
          <w:bCs/>
        </w:rPr>
        <w:t xml:space="preserve">one seed</w:t>
      </w:r>
      <w:r>
        <w:rPr>
          <w:rFonts w:ascii="Times New Roman" w:cs="Times New Roman" w:eastAsia="Times New Roman" w:hAnsi="Times New Roman"/>
        </w:rPr>
        <w:t xml:space="preserve">. Seed 3 reaches a median tail latency of 3,604 slots and lets 34 % of orders expire, with expiry in 65 of 100 episodes; at the matched rate the same seed behaves normally. The other four seeds, pooled, give a tail latency of 186.5 slots [152.5, 253.9], </w:t>
      </w:r>
      <w:r>
        <w:rPr>
          <w:rFonts w:ascii="Times New Roman" w:cs="Times New Roman" w:eastAsia="Times New Roman" w:hAnsi="Times New Roman"/>
          <w:b/>
          <w:bCs/>
        </w:rPr>
        <w:t xml:space="preserve">zero expiry</w:t>
      </w:r>
      <w:r>
        <w:rPr>
          <w:rFonts w:ascii="Times New Roman" w:cs="Times New Roman" w:eastAsia="Times New Roman" w:hAnsi="Times New Roman"/>
        </w:rPr>
        <w:t xml:space="preserve">, fairness 0.77 and a per-user cost of 77,916 lovelace — cheaper than E1 (78,638) at a sixth of its tail latency. Checkpoints were selected on validation at the matched rate, and seed 3 was not distinguishable there, so this is reported as a genuine finding about training brittleness under the reduced budget rather than excluded after the fact.</w:t>
      </w:r>
    </w:p>
    <w:p>
      <w:pPr>
        <w:pStyle w:val="Heading2"/>
      </w:pPr>
      <w:r>
        <w:t xml:space="preserve">8.10 Ablations</w:t>
      </w:r>
    </w:p>
    <w:p>
      <w:pPr>
        <w:pStyle w:val="Heading3"/>
      </w:pPr>
      <w:r>
        <w:t xml:space="preserve">A1 — what forecast error costs</w:t>
      </w:r>
    </w:p>
    <w:p>
      <w:pPr>
        <w:keepNext/>
        <w:spacing w:after="200" w:before="60"/>
        <w:jc w:val="center"/>
      </w:pPr>
      <w:r>
        <w:rPr>
          <w:rFonts w:ascii="Times New Roman" w:cs="Times New Roman" w:eastAsia="Times New Roman" w:hAnsi="Times New Roman"/>
          <w:b/>
          <w:bCs/>
          <w:sz w:val="22"/>
          <w:szCs w:val="22"/>
        </w:rPr>
        <w:t xml:space="preserve">Table 8.10: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naive versus learned forecaster, re-specified</w:t>
      </w:r>
    </w:p>
    <w:p>
      <w:pPr>
        <w:spacing w:after="120" w:line="336"/>
        <w:jc w:val="both"/>
      </w:pPr>
      <w:r>
        <w:rPr>
          <w:rFonts w:ascii="Times New Roman" w:cs="Times New Roman" w:eastAsia="Times New Roman" w:hAnsi="Times New Roman"/>
        </w:rPr>
        <w:t xml:space="preserve">As first run, A2 was confounded. P2 driven by E4 was identical to greedy at every N_MIN, because a moving average is flat across the forecast horizon and the “quieter block predicted” condition compares equal numbers, so it never fires. That compared a flat forecast with a varying one, not a naive forecast with a learned one.</w:t>
      </w:r>
    </w:p>
    <w:p>
      <w:pPr>
        <w:spacing w:after="120" w:line="336"/>
        <w:jc w:val="both"/>
      </w:pPr>
      <w:r>
        <w:rPr>
          <w:rFonts w:ascii="Times New Roman" w:cs="Times New Roman" w:eastAsia="Times New Roman" w:hAnsi="Times New Roman"/>
        </w:rPr>
        <w:t xml:space="preserve">A2 was therefore re-specified with a second naive baseline, </w:t>
      </w:r>
      <w:r>
        <w:rPr>
          <w:rFonts w:ascii="Times New Roman" w:cs="Times New Roman" w:eastAsia="Times New Roman" w:hAnsi="Times New Roman"/>
          <w:b/>
          <w:bCs/>
        </w:rPr>
        <w:t xml:space="preserve">E4b (mean-reverting)</w:t>
      </w:r>
      <w:r>
        <w:rPr>
          <w:rFonts w:ascii="Times New Roman" w:cs="Times New Roman" w:eastAsia="Times New Roman" w:hAnsi="Times New Roman"/>
        </w:rPr>
        <w:t xml:space="preserve">: </w:t>
      </w:r>
      <w:r>
        <w:rPr>
          <w:rFonts w:ascii="Consolas" w:cs="Consolas" w:eastAsia="Consolas" w:hAnsi="Consolas"/>
          <w:sz w:val="20"/>
          <w:szCs w:val="20"/>
        </w:rPr>
        <w:t xml:space="preserve">fill_hat(t+h) = m_t + φ^h · (fill_t − m_t)</w:t>
      </w:r>
      <w:r>
        <w:rPr>
          <w:rFonts w:ascii="Times New Roman" w:cs="Times New Roman" w:eastAsia="Times New Roman" w:hAnsi="Times New Roman"/>
        </w:rPr>
        <w:t xml:space="preserve">, where </w:t>
      </w:r>
      <w:r>
        <w:rPr>
          <w:rFonts w:ascii="Consolas" w:cs="Consolas" w:eastAsia="Consolas" w:hAnsi="Consolas"/>
          <w:sz w:val="20"/>
          <w:szCs w:val="20"/>
        </w:rPr>
        <w:t xml:space="preserve">m_t</w:t>
      </w:r>
      <w:r>
        <w:rPr>
          <w:rFonts w:ascii="Times New Roman" w:cs="Times New Roman" w:eastAsia="Times New Roman" w:hAnsi="Times New Roman"/>
        </w:rPr>
        <w:t xml:space="preserve"> is E4’s 20-block rolling mean and φ the lag-1 autocorrelation of the deviation from it, fitted on the training split. It is as naive as E4 — one fitted number — but varies across the horizon. The configuration was committed before the run, and it used the same 12 validation episodes at the matched rate as the original Phase 4 ablations.</w:t>
      </w:r>
    </w:p>
    <w:p>
      <w:pPr>
        <w:keepNext/>
        <w:spacing w:after="200" w:before="60"/>
        <w:jc w:val="center"/>
      </w:pPr>
      <w:r>
        <w:rPr>
          <w:rFonts w:ascii="Times New Roman" w:cs="Times New Roman" w:eastAsia="Times New Roman" w:hAnsi="Times New Roman"/>
          <w:b/>
          <w:bCs/>
          <w:sz w:val="22"/>
          <w:szCs w:val="22"/>
        </w:rPr>
        <w:t xml:space="preserve">Table 8.11: </w:t>
      </w:r>
      <w:r>
        <w:rPr>
          <w:rFonts w:ascii="Times New Roman" w:cs="Times New Roman" w:eastAsia="Times New Roman" w:hAnsi="Times New Roman"/>
          <w:i/>
          <w:iCs/>
          <w:sz w:val="22"/>
          <w:szCs w:val="22"/>
        </w:rPr>
        <w:t xml:space="preserve">Forecasters on the validation split — whether each can make P2’s quieter-block branch fire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1905"/>
        <w:gridCol w:w="1905"/>
        <w:gridCol w:w="1907"/>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Forecaster</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Branch fires</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 t+1</w:t>
            </w:r>
          </w:p>
        </w:tc>
        <w:tc>
          <w:tcPr>
            <w:tcW w:type="dxa" w:w="19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 (flat)</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0.0586</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E4b mean-reverting (φ = 0.084)</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36.2 %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0.0582</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LightGBM</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67.4 %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0.0530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0.740</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64.7 %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w:t>
            </w:r>
          </w:p>
        </w:tc>
      </w:tr>
    </w:tbl>
    <w:p>
      <w:pPr>
        <w:spacing w:after="160"/>
      </w:pPr>
    </w:p>
    <w:p>
      <w:pPr>
        <w:spacing w:after="120" w:line="336"/>
        <w:jc w:val="both"/>
      </w:pPr>
      <w:r>
        <w:rPr>
          <w:rFonts w:ascii="Times New Roman" w:cs="Times New Roman" w:eastAsia="Times New Roman" w:hAnsi="Times New Roman"/>
        </w:rPr>
        <w:t xml:space="preserve">The zero for E4 confirms the confound directly. The fitted φ is small — deviations from the recent level barely persist — so E4b’s forecasts stay close to the level, but they still vary enough for the branch to fire on about a third of blocks.</w:t>
      </w:r>
    </w:p>
    <w:p>
      <w:pPr>
        <w:keepNext/>
        <w:spacing w:after="200" w:before="60"/>
        <w:jc w:val="center"/>
      </w:pPr>
      <w:r>
        <w:rPr>
          <w:rFonts w:ascii="Times New Roman" w:cs="Times New Roman" w:eastAsia="Times New Roman" w:hAnsi="Times New Roman"/>
          <w:b/>
          <w:bCs/>
          <w:sz w:val="22"/>
          <w:szCs w:val="22"/>
        </w:rPr>
        <w:t xml:space="preserve">Table 8.12: </w:t>
      </w:r>
      <w:r>
        <w:rPr>
          <w:rFonts w:ascii="Times New Roman" w:cs="Times New Roman" w:eastAsia="Times New Roman" w:hAnsi="Times New Roman"/>
          <w:i/>
          <w:iCs/>
          <w:sz w:val="22"/>
          <w:szCs w:val="22"/>
        </w:rPr>
        <w:t xml:space="preserve">P2 by forecaster across N_MIN — median over 12 paired validation episodes (L-p95 slots / C-user lovelace)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2005"/>
        <w:gridCol w:w="2005"/>
        <w:gridCol w:w="2005"/>
        <w:gridCol w:w="2009"/>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E4b naive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ORACLE</w:t>
            </w:r>
          </w:p>
        </w:tc>
        <w:tc>
          <w:tcPr>
            <w:tcW w:type="dxa" w:w="2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 flat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 / 151,557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 / 137,596</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 / 120,945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 / 120,608</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134.3 / 127,523</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142.5 / 108,672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135.0 / 108,217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143.4 / 124,229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 / 103,841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143.5 / 103,184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149.5 / 122,915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165.5 / 101,747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148.5 / 101,064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8.13: </w:t>
      </w:r>
      <w:r>
        <w:rPr>
          <w:rFonts w:ascii="Times New Roman" w:cs="Times New Roman" w:eastAsia="Times New Roman" w:hAnsi="Times New Roman"/>
          <w:i/>
          <w:iCs/>
          <w:sz w:val="22"/>
          <w:szCs w:val="22"/>
        </w:rPr>
        <w:t xml:space="preserve">A2 — P2 on LightGBM minus P2 on E4b, paired over 12 episodes, Holm–Bonferroni across the family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3810"/>
        <w:gridCol w:w="3812"/>
      </w:tblGrid>
      <w:tr>
        <w:trPr>
          <w:tblHeader/>
        </w:trPr>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difference [95 % CI]</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difference [95 % CI]</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[0, 0]</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 [+1.5, +3.0]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−17,186 [−20,785, −14,489]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 [+6.0, +9.0]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−21,348 [−25,858, −17,395]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 [+10.4, +15.7]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−22,582 [−27,817, −18,148]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 [+12.0, +18.5]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−23,332 [−28,872, −18,627] *</w:t>
            </w:r>
          </w:p>
        </w:tc>
      </w:tr>
    </w:tbl>
    <w:p>
      <w:pPr>
        <w:spacing w:after="160"/>
      </w:pPr>
    </w:p>
    <w:p>
      <w:pPr>
        <w:spacing w:after="120" w:line="336"/>
        <w:jc w:val="both"/>
      </w:pPr>
      <w:r>
        <w:rPr>
          <w:rFonts w:ascii="Times New Roman" w:cs="Times New Roman" w:eastAsia="Times New Roman" w:hAnsi="Times New Roman"/>
          <w:b/>
          <w:bCs/>
        </w:rPr>
        <w:t xml:space="preserve">At equal N_MIN the two forecasters do not produce a better and a worse policy; they produce different operating points.</w:t>
      </w:r>
      <w:r>
        <w:rPr>
          <w:rFonts w:ascii="Times New Roman" w:cs="Times New Roman" w:eastAsia="Times New Roman" w:hAnsi="Times New Roman"/>
        </w:rPr>
        <w:t xml:space="preserve"> LightGBM lets the branch fire about twice as often, so P2 waits more, builds batches 26–47 % larger, and trades 2–15 slots of tail latency for 17,000–23,000 lovelace less per user — every difference significant. Equal N_MIN is therefore not a like-for-like comparison, and the question A2 asks is answered by the frontier instead.</w:t>
      </w:r>
    </w:p>
    <w:p>
      <w:pPr>
        <w:spacing w:after="120" w:line="336"/>
        <w:jc w:val="both"/>
      </w:pPr>
      <w:r>
        <w:rPr>
          <w:rFonts w:ascii="Times New Roman" w:cs="Times New Roman" w:eastAsia="Times New Roman" w:hAnsi="Times New Roman"/>
          <w:b/>
          <w:bCs/>
        </w:rPr>
        <w:t xml:space="preserve">On the frontier, the learned forecaster helps the policy.</w:t>
      </w:r>
      <w:r>
        <w:rPr>
          <w:rFonts w:ascii="Times New Roman" w:cs="Times New Roman" w:eastAsia="Times New Roman" w:hAnsi="Times New Roman"/>
        </w:rPr>
        <w:t xml:space="preserve"> LightGBM at N_MIN = 4 (127.0 slots, 120,945 lovelace) is at least as fast and cheaper than E4b at N_MIN = 8, 12 and 20, so it dominates three of E4b’s five points; no LightGBM point is dominated by E4b. E4b cannot reach below about 123,000 lovelace at any setting, because its weak reversion rarely justifies a long wait, while LightGBM reaches 101,747. LightGBM also matches ORACLE on per-user cost at every N_MIN, to within 0.7 %; its gap to ORACLE is in tail latency (up to 17 slots at N_MIN = 20), consistent with the lagging forecast of F4.</w:t>
      </w:r>
    </w:p>
    <w:p>
      <w:pPr>
        <w:spacing w:after="120" w:line="336"/>
        <w:jc w:val="both"/>
      </w:pPr>
      <w:r>
        <w:rPr>
          <w:rFonts w:ascii="Times New Roman" w:cs="Times New Roman" w:eastAsia="Times New Roman" w:hAnsi="Times New Roman"/>
        </w:rPr>
        <w:t xml:space="preserve">The answer to A2 is therefore </w:t>
      </w:r>
      <w:r>
        <w:rPr>
          <w:rFonts w:ascii="Times New Roman" w:cs="Times New Roman" w:eastAsia="Times New Roman" w:hAnsi="Times New Roman"/>
          <w:b/>
          <w:bCs/>
        </w:rPr>
        <w:t xml:space="preserve">yes, but only for cost</w:t>
      </w:r>
      <w:r>
        <w:rPr>
          <w:rFonts w:ascii="Times New Roman" w:cs="Times New Roman" w:eastAsia="Times New Roman" w:hAnsi="Times New Roman"/>
        </w:rPr>
        <w:t xml:space="preserve">: a learned forecaster lets P2 buy larger batches more cheaply than a naive one, while contributing nothing to latency — the same division A1, A3 and the test-split ORACLE gap each point to. The frontier comparison rests on medians over 12 validation episodes and is descriptive; the equal-N_MIN paired tests are the formal result.</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Both ablations retrain five DQN seeds from scratch with the Phase 5 configuration — 200,000 steps, the same training windows and reward calibration — changing one thing each: </w:t>
      </w:r>
      <w:r>
        <w:rPr>
          <w:rFonts w:ascii="Times New Roman" w:cs="Times New Roman" w:eastAsia="Times New Roman" w:hAnsi="Times New Roman"/>
          <w:b/>
          <w:bCs/>
        </w:rPr>
        <w:t xml:space="preserve">A3</w:t>
      </w:r>
      <w:r>
        <w:rPr>
          <w:rFonts w:ascii="Times New Roman" w:cs="Times New Roman" w:eastAsia="Times New Roman" w:hAnsi="Times New Roman"/>
        </w:rPr>
        <w:t xml:space="preserve"> removes the forecast from the state (the three </w:t>
      </w:r>
      <w:r>
        <w:rPr>
          <w:rFonts w:ascii="Consolas" w:cs="Consolas" w:eastAsia="Consolas" w:hAnsi="Consolas"/>
          <w:sz w:val="20"/>
          <w:szCs w:val="20"/>
        </w:rPr>
        <w:t xml:space="preserve">fill_hat</w:t>
      </w:r>
      <w:r>
        <w:rPr>
          <w:rFonts w:ascii="Times New Roman" w:cs="Times New Roman" w:eastAsia="Times New Roman" w:hAnsi="Times New Roman"/>
        </w:rPr>
        <w:t xml:space="preserve"> inputs are constant zero), and </w:t>
      </w:r>
      <w:r>
        <w:rPr>
          <w:rFonts w:ascii="Times New Roman" w:cs="Times New Roman" w:eastAsia="Times New Roman" w:hAnsi="Times New Roman"/>
          <w:b/>
          <w:bCs/>
        </w:rPr>
        <w:t xml:space="preserve">A4</w:t>
      </w:r>
      <w:r>
        <w:rPr>
          <w:rFonts w:ascii="Times New Roman" w:cs="Times New Roman" w:eastAsia="Times New Roman" w:hAnsi="Times New Roman"/>
        </w:rPr>
        <w:t xml:space="preserve"> replaces the quadratic latency penalty with a linear one, recalibrated to unit scale. All ten agents are scored through the standard metric path on the same four validation episodes as Phase 5; the test split is not used again.</w:t>
      </w:r>
    </w:p>
    <w:p>
      <w:pPr>
        <w:keepNext/>
        <w:spacing w:after="200" w:before="60"/>
        <w:jc w:val="center"/>
      </w:pPr>
      <w:r>
        <w:rPr>
          <w:rFonts w:ascii="Times New Roman" w:cs="Times New Roman" w:eastAsia="Times New Roman" w:hAnsi="Times New Roman"/>
          <w:b/>
          <w:bCs/>
          <w:sz w:val="22"/>
          <w:szCs w:val="22"/>
        </w:rPr>
        <w:t xml:space="preserve">Table 8.14: </w:t>
      </w:r>
      <w:r>
        <w:rPr>
          <w:rFonts w:ascii="Times New Roman" w:cs="Times New Roman" w:eastAsia="Times New Roman" w:hAnsi="Times New Roman"/>
          <w:i/>
          <w:iCs/>
          <w:sz w:val="22"/>
          <w:szCs w:val="22"/>
        </w:rPr>
        <w:t xml:space="preserve">Ablations A3 and A4 against the Phase 5 agent, per seed,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1203"/>
        <w:gridCol w:w="1203"/>
        <w:gridCol w:w="1203"/>
        <w:gridCol w:w="1404"/>
        <w:gridCol w:w="1404"/>
        <w:gridCol w:w="1306"/>
      </w:tblGrid>
      <w:tr>
        <w:trPr>
          <w:tblHeader/>
        </w:trPr>
        <w:tc>
          <w:tcPr>
            <w:tcW w:type="dxa" w:w="13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Seed</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P3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A4</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P3</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A3</w:t>
            </w:r>
          </w:p>
        </w:tc>
        <w:tc>
          <w:tcPr>
            <w:tcW w:type="dxa" w:w="13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99,886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97,643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105,808</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169.5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83,869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88,197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84,495</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147.0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84,089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82,843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84,104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86,786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85,285</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87,122</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155.0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83,717</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83,147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86,219</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 sd</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155.1 ± 11.7</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148.8 ± 16.0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87,423 ± 5,457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89,550 ± 8,204</w:t>
            </w:r>
          </w:p>
        </w:tc>
      </w:tr>
    </w:tbl>
    <w:p>
      <w:pPr>
        <w:spacing w:after="160"/>
      </w:pPr>
    </w:p>
    <w:p>
      <w:pPr>
        <w:spacing w:after="120" w:line="336"/>
        <w:jc w:val="both"/>
      </w:pPr>
      <w:r>
        <w:rPr>
          <w:rFonts w:ascii="Times New Roman" w:cs="Times New Roman" w:eastAsia="Times New Roman" w:hAnsi="Times New Roman"/>
        </w:rPr>
        <w:t xml:space="preserve">Every one of the ten agents produced zero Gate A violations and zero expired orders, and none collapsed (action entropy 0.30–0.97).</w:t>
      </w:r>
    </w:p>
    <w:p>
      <w:pPr>
        <w:spacing w:after="120" w:line="336"/>
        <w:jc w:val="both"/>
      </w:pPr>
      <w:r>
        <w:rPr>
          <w:rFonts w:ascii="Times New Roman" w:cs="Times New Roman" w:eastAsia="Times New Roman" w:hAnsi="Times New Roman"/>
          <w:b/>
          <w:bCs/>
        </w:rPr>
        <w:t xml:space="preserve">A3 — the forecast contributes a little, and only to latency.</w:t>
      </w:r>
      <w:r>
        <w:rPr>
          <w:rFonts w:ascii="Times New Roman" w:cs="Times New Roman" w:eastAsia="Times New Roman" w:hAnsi="Times New Roman"/>
        </w:rPr>
        <w:t xml:space="preserve"> Retrained without a forecast, the agent’s tail latency is 4.1 % higher on average (155.1 against 149.0 slots) at an unchanged per-user cost (−0.3 %). The direction is consistent — all five seeds are slower without the forecast, by 0.5 to 12.5 slots — but the mean effect is smaller than the seed-to-seed standard deviation and rests on four validation episodes, so it is suggestive rather than established. The retrained result reverses the sign of the inference-time test in Section 8.8, where zeroing the forecast on an agent trained with it made four of five seeds slightly faster; the retrained comparison is the one the protocol specifies, because an agent trained with the input has never learned to act without it. Either way the effect is a few percent: the verdict remains </w:t>
      </w:r>
      <w:r>
        <w:rPr>
          <w:rFonts w:ascii="Times New Roman" w:cs="Times New Roman" w:eastAsia="Times New Roman" w:hAnsi="Times New Roman"/>
          <w:b/>
          <w:bCs/>
        </w:rPr>
        <w:t xml:space="preserve">queue-aware</w:t>
      </w:r>
      <w:r>
        <w:rPr>
          <w:rFonts w:ascii="Times New Roman" w:cs="Times New Roman" w:eastAsia="Times New Roman" w:hAnsi="Times New Roman"/>
        </w:rPr>
        <w:t xml:space="preserve">, with the forecast as a minor secondary input.</w:t>
      </w:r>
    </w:p>
    <w:p>
      <w:pPr>
        <w:spacing w:after="120" w:line="336"/>
        <w:jc w:val="both"/>
      </w:pPr>
      <w:r>
        <w:rPr>
          <w:rFonts w:ascii="Times New Roman" w:cs="Times New Roman" w:eastAsia="Times New Roman" w:hAnsi="Times New Roman"/>
          <w:b/>
          <w:bCs/>
        </w:rPr>
        <w:t xml:space="preserve">A4 — the quadratic penalty is not what controls the tail.</w:t>
      </w:r>
      <w:r>
        <w:rPr>
          <w:rFonts w:ascii="Times New Roman" w:cs="Times New Roman" w:eastAsia="Times New Roman" w:hAnsi="Times New Roman"/>
        </w:rPr>
        <w:t xml:space="preserve"> With a linear latency penalty, tail latency is unchanged (148.8 against 149.0 slots) and per-user cost is 2.1 % higher, both well inside seed variation. The tail is already bounded structurally by the D_MAX mask, which forbids waiting past the deadline, so reshaping the latency term leaves little for the reward to do. The quadratic form is retained as specified, but the report does not credit it with the agent’s tail behaviour.</w:t>
      </w:r>
    </w:p>
    <w:p>
      <w:pPr>
        <w:pStyle w:val="Heading3"/>
      </w:pPr>
      <w:r>
        <w:t xml:space="preserve">A5 — estimation error against Gate A</w:t>
      </w:r>
    </w:p>
    <w:p>
      <w:pPr>
        <w:keepNext/>
        <w:spacing w:after="200" w:before="60"/>
        <w:jc w:val="center"/>
      </w:pPr>
      <w:r>
        <w:rPr>
          <w:rFonts w:ascii="Times New Roman" w:cs="Times New Roman" w:eastAsia="Times New Roman" w:hAnsi="Times New Roman"/>
          <w:b/>
          <w:bCs/>
          <w:sz w:val="22"/>
          <w:szCs w:val="22"/>
        </w:rPr>
        <w:t xml:space="preserve">Table 8.15: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keepNext/>
        <w:spacing w:after="200" w:before="60"/>
        <w:jc w:val="center"/>
      </w:pPr>
      <w:r>
        <w:rPr>
          <w:rFonts w:ascii="Times New Roman" w:cs="Times New Roman" w:eastAsia="Times New Roman" w:hAnsi="Times New Roman"/>
          <w:b/>
          <w:bCs/>
          <w:sz w:val="22"/>
          <w:szCs w:val="22"/>
        </w:rPr>
        <w:t xml:space="preserve">Table 8.16: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607"/>
        <w:gridCol w:w="4011"/>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across 8 policies × 3 rates × 100 episodes, P3 over 5 seeds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Best static on L-p95 is greedy at every rate. P2 (N=1) identical (diff 0); P2 (N=4) +6.0 slots; P3 +40.2 slots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Fail at all rates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zero at all rates; P3 zero at light and matched, 0.07 [0.03, 0.10] at heavy (one seed)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P2; P3 fails at heavy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dominates E2 by median at matched (latency difference not significant); none at light or heavy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 — matched only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0.85 / 0.83 / 0.68 overlaps or exceeds best static; P2 (N=4) 0.77 vs E1 0.84 / 0.83 at light /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P3; P2 fails at light and matched</w:t>
            </w:r>
          </w:p>
        </w:tc>
      </w:tr>
    </w:tbl>
    <w:p>
      <w:pPr>
        <w:spacing w:after="160"/>
      </w:pPr>
    </w:p>
    <w:p>
      <w:pPr>
        <w:spacing w:after="120" w:line="336"/>
        <w:jc w:val="both"/>
      </w:pPr>
      <w:r>
        <w:rPr>
          <w:rFonts w:ascii="Times New Roman" w:cs="Times New Roman" w:eastAsia="Times New Roman" w:hAnsi="Times New Roman"/>
        </w:rPr>
        <w:t xml:space="preserve">Read together, the verdicts describe a </w:t>
      </w:r>
      <w:r>
        <w:rPr>
          <w:rFonts w:ascii="Times New Roman" w:cs="Times New Roman" w:eastAsia="Times New Roman" w:hAnsi="Times New Roman"/>
          <w:b/>
          <w:bCs/>
        </w:rPr>
        <w:t xml:space="preserve">trade-off result, not a dominance result</w:t>
      </w:r>
      <w:r>
        <w:rPr>
          <w:rFonts w:ascii="Times New Roman" w:cs="Times New Roman" w:eastAsia="Times New Roman" w:hAnsi="Times New Roman"/>
        </w:rPr>
        <w:t xml:space="preserve">. The one safety criterion, S2, holds without exception. The latency criterion S3 fails for a reason the data predicted: Phase 1 found capacity binding about once in 180 blocks, and in a system where capacity does not bind the latency-optimal batcher is greedy, which no policy can beat by waiting. What the adaptive policies deliver instead is controllable movement along the latency–cost frontier — robustly for the optimizer, with a better fairness profile but seed-level brittleness for the learned agent. S3 failing while S2 holds is, in the evaluation protocol’s own terms, a publishable outcome stated rather than hidden.</w:t>
      </w:r>
    </w:p>
    <w:p>
      <w:pPr>
        <w:pStyle w:val="Heading2"/>
      </w:pPr>
      <w:r>
        <w:t xml:space="preserve">8.12 Threats to Validity</w:t>
      </w:r>
    </w:p>
    <w:p>
      <w:pPr>
        <w:keepNext/>
        <w:spacing w:after="200" w:before="60"/>
        <w:jc w:val="center"/>
      </w:pPr>
      <w:r>
        <w:rPr>
          <w:rFonts w:ascii="Times New Roman" w:cs="Times New Roman" w:eastAsia="Times New Roman" w:hAnsi="Times New Roman"/>
          <w:b/>
          <w:bCs/>
          <w:sz w:val="22"/>
          <w:szCs w:val="22"/>
        </w:rPr>
        <w:t xml:space="preserve">Table 8.17: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their manifests record the parent revision. The test run was launched before its tooling was committed, and its manifest records the revision current when it finished (0a5c7d5, clean tree), not at launch; the evaluated source is believed identical apart from automatic formatting, but the manifest cannot prove it. Data and parameters are pinned by checksum and configuration hash. It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selection at one arrival rate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checkpoints were chosen on validation at the matched rate; one of five seeds fails at the heavy rate. Reported with all five seeds included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Heading2"/>
      </w:pPr>
      <w:r>
        <w:t xml:space="preserve">9.2 Objectives Revisited</w:t>
      </w:r>
    </w:p>
    <w:p>
      <w:pPr>
        <w:keepNext/>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against greedy, which is latency-optimal when capacity rarely binds (S3 fails). P2 (N=4) is 60.5 slots faster than tuned E2 at heavy load; P3 is significantly faster than E1 at every rate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as a trade-off</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 matched rate: P2 (N=4) −19 % and P3 −43 % per-user cost against greedy, for +5 % and +33 % tail latency; E1 remains cheapest</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across the whole test evaluation;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all five P3 checkpoints reproduce their recorded metrics exactly (T-L5);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and brittle agent</w:t>
      </w:r>
      <w:r>
        <w:rPr>
          <w:rFonts w:ascii="Times New Roman" w:cs="Times New Roman" w:eastAsia="Times New Roman" w:hAnsi="Times New Roman"/>
        </w:rPr>
        <w:t xml:space="preserve"> — P3 was trained at a tenth of the specified budget, and one of five seeds fails under heavy load.</w:t>
      </w:r>
    </w:p>
    <w:p>
      <w:pPr>
        <w:pStyle w:val="ListParagraph"/>
        <w:numPr>
          <w:ilvl w:val="0"/>
          <w:numId w:val="2"/>
        </w:numPr>
        <w:spacing w:after="60" w:line="312"/>
      </w:pPr>
      <w:r>
        <w:rPr>
          <w:rFonts w:ascii="Times New Roman" w:cs="Times New Roman" w:eastAsia="Times New Roman" w:hAnsi="Times New Roman"/>
          <w:b/>
          <w:bCs/>
        </w:rPr>
        <w:t xml:space="preserve">No latency gain over greedy</w:t>
      </w:r>
      <w:r>
        <w:rPr>
          <w:rFonts w:ascii="Times New Roman" w:cs="Times New Roman" w:eastAsia="Times New Roman" w:hAnsi="Times New Roman"/>
        </w:rPr>
        <w:t xml:space="preserve"> — on the current chain no adaptive policy beat greedy on tail latency; the benefit is cost and fairness at a stated latency price.</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Checkpoint selection across all three arrival rates, the full 2M-step training budget, and seed ensembling to remove the heavy-load failure of a single seed.</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Calibration against preprod transactions, including the reference-script fee term, and the live on-chain demonstration.</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On held-out data the adaptive policies did not beat greedy batching on latency — the expected consequence of capacity that rarely binds — but they gave an operator a controllable, statistically characterised trade-off between latency and per-user cost, and the optimizer held that trade-off across traffic levels at which the fixed rules tuned for one level broke down.</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72410f2baa6e104c515b08a202ced0193bb59abf.png"/><Relationship Id="rId25" Type="http://schemas.openxmlformats.org/officeDocument/2006/relationships/image" Target="media/7751280bf8e3d74fed886d661337445f88902eb0.png"/><Relationship Id="rId26" Type="http://schemas.openxmlformats.org/officeDocument/2006/relationships/image" Target="media/a27fdb3c1ac3fefa0a234b2a506c8c0656706499.png"/><Relationship Id="rId27" Type="http://schemas.openxmlformats.org/officeDocument/2006/relationships/image" Target="media/21ca40cf8eb346513c3a8c8a60c3686122c2232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2026-09-14T14:47:11.312Z</dcterms:created>
  <dcterms:modified xsi:type="dcterms:W3CDTF">2026-09-14T14:47:11.313Z</dcterms:modified>
</cp:coreProperties>
</file>

<file path=docProps/custom.xml><?xml version="1.0" encoding="utf-8"?>
<Properties xmlns="http://schemas.openxmlformats.org/officeDocument/2006/custom-properties" xmlns:vt="http://schemas.openxmlformats.org/officeDocument/2006/docPropsVTypes"/>
</file>