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7eb1b884bfe41f1" /><Relationship Type="http://schemas.openxmlformats.org/package/2006/relationships/metadata/core-properties" Target="/docProps/core.xml" Id="R77a92aa80a944227" /><Relationship Type="http://schemas.openxmlformats.org/officeDocument/2006/relationships/extended-properties" Target="/docProps/app.xml" Id="R9f3eecb926bb4d24" /><Relationship Type="http://schemas.openxmlformats.org/officeDocument/2006/relationships/custom-properties" Target="/docProps/custom.xml" Id="Rbebbcde3883446a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Household Energy Consumption &amp; Sustainability Analytics</w:t>
      </w:r>
    </w:p>
    <w:p w14:paraId="00100002" w14:textId="00100003">
      <w:pPr>
        <w:spacing w:after="80"/>
        <w:jc w:val="center"/>
      </w:pPr>
      <w:r>
        <w:rPr>
          <w:color w:val="555555"/>
          <w:sz w:val="28"/>
        </w:rPr>
        <w:t xml:space="preserve">Business Intelligence Project Report</w:t>
      </w:r>
    </w:p>
    <w:p w14:paraId="00100004" w14:textId="00100005">
      <w:pPr>
        <w:spacing w:after="480"/>
        <w:jc w:val="center"/>
      </w:pPr>
      <w:r>
        <w:rPr>
          <w:color w:val="777777"/>
          <w:sz w:val="22"/>
        </w:rPr>
        <w:t xml:space="preserve">Dataset: UCI Individual Household Electric Power Consumption (Dec 2006 to Nov 2010)</w:t>
      </w:r>
    </w:p>
    <w:p w14:paraId="00100006" w14:textId="00100007">
      <w:pPr>
        <w:pStyle w:val="Heading1"/>
        <w:spacing w:before="240" w:after="160"/>
      </w:pPr>
      <w:r>
        <w:rPr>
          <w:b/>
          <w:sz w:val="36"/>
        </w:rPr>
        <w:t xml:space="preserve">1. Executive Summary</w:t>
      </w:r>
    </w:p>
    <w:p w14:paraId="00100008" w14:textId="00100009">
      <w:pPr>
        <w:spacing w:after="160"/>
      </w:pPr>
      <w:r>
        <w:rPr>
          <w:sz w:val="22"/>
        </w:rPr>
        <w:t xml:space="preserve">This report presents a comprehensive analysis of electricity consumption in a single household over approximately four years (December 2006 to November 2010), using the UCI Household Electric Power Consumption dataset. The dataset contains nearly 2.1 million individual one-minute readings, making it one of the most detailed publicly available residential energy datasets in the world.</w:t>
      </w:r>
    </w:p>
    <w:p w14:paraId="0010000A" w14:textId="0010000B">
      <w:pPr>
        <w:spacing w:after="160"/>
      </w:pPr>
      <w:r>
        <w:rPr>
          <w:sz w:val="22"/>
        </w:rPr>
        <w:t xml:space="preserve">Over the full observation period, the household consumed approximately 37,296 kWh of electricity, generating an estimated electricity bill of £10,443 and emitting around 8.7 tonnes of CO2. Peak-hour usage (morning and evening rush hours) accounts for nearly 40% of total consumption — a significant and addressable cost driver.</w:t>
      </w:r>
    </w:p>
    <w:p w14:paraId="0010000C" w14:textId="0010000D">
      <w:pPr>
        <w:spacing w:after="320"/>
      </w:pPr>
      <w:r>
        <w:rPr>
          <w:sz w:val="22"/>
        </w:rPr>
        <w:t xml:space="preserve">Three specific actions — enrolling in a Time-of-Use electricity tariff, fitting a smart thermostat, and installing solar panels — could together reduce annual electricity costs by 25–40%. A machine learning forecast model predicts the next 30 days of daily energy consumption with an R2 of 0.40 and MAE of 4.28 kWh/day.</w:t>
      </w:r>
    </w:p>
    <w:p w14:paraId="0010000E" w14:textId="0010000F">
      <w:pPr>
        <w:pStyle w:val="Heading1"/>
        <w:spacing w:before="240" w:after="160"/>
      </w:pPr>
      <w:r>
        <w:rPr>
          <w:b/>
          <w:sz w:val="36"/>
        </w:rPr>
        <w:t xml:space="preserve">2. Project Overview &amp; Data Description</w:t>
      </w:r>
    </w:p>
    <w:p w14:paraId="00100010" w14:textId="00100011">
      <w:pPr>
        <w:pStyle w:val="Heading2"/>
        <w:spacing w:after="120"/>
      </w:pPr>
      <w:r>
        <w:rPr>
          <w:b/>
          <w:sz w:val="28"/>
        </w:rPr>
        <w:t xml:space="preserve">2.1 About the Dataset</w:t>
      </w:r>
    </w:p>
    <w:p w14:paraId="00100012" w14:textId="00100013">
      <w:pPr>
        <w:spacing w:after="160"/>
      </w:pPr>
      <w:r>
        <w:rPr>
          <w:sz w:val="22"/>
        </w:rPr>
        <w:t xml:space="preserve">The UCI Individual Household Electric Power Consumption dataset was collected from a single home in Sceaux, France, via a smart meter recording measurements every minute from December 2006 to November 2010. Source: https://archive.ics.uci.edu/dataset/235/individual+household+electric+power+consumption</w:t>
      </w:r>
    </w:p>
    <w:p w14:paraId="00100014" w14:textId="00100015">
      <w:pPr>
        <w:pStyle w:val="Heading2"/>
        <w:spacing w:after="120"/>
      </w:pPr>
      <w:r>
        <w:rPr>
          <w:b/>
          <w:sz w:val="28"/>
        </w:rPr>
        <w:t xml:space="preserve">2.2 Data Fields Explained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16" w14:textId="00100017">
            <w:r>
              <w:t xml:space="preserve">Field Name</w:t>
            </w:r>
          </w:p>
        </w:tc>
        <w:tc>
          <w:p w14:paraId="00100018" w14:textId="00100019">
            <w:r>
              <w:t xml:space="preserve">Plain-language Description</w:t>
            </w:r>
          </w:p>
        </w:tc>
      </w:tr>
      <w:tr>
        <w:trPr/>
        <w:tc>
          <w:p w14:paraId="0010001A" w14:textId="0010001B">
            <w:r>
              <w:t xml:space="preserve">Date / Time</w:t>
            </w:r>
          </w:p>
        </w:tc>
        <w:tc>
          <w:p w14:paraId="0010001C" w14:textId="0010001D">
            <w:r>
              <w:t xml:space="preserve">The exact date and minute of each measurement</w:t>
            </w:r>
          </w:p>
        </w:tc>
      </w:tr>
      <w:tr>
        <w:trPr/>
        <w:tc>
          <w:p w14:paraId="0010001E" w14:textId="0010001F">
            <w:r>
              <w:t xml:space="preserve">Global Active Power (kW)</w:t>
            </w:r>
          </w:p>
        </w:tc>
        <w:tc>
          <w:p w14:paraId="00100020" w14:textId="00100021">
            <w:r>
              <w:t xml:space="preserve">Total electricity actively used by the household — the main usage metric</w:t>
            </w:r>
          </w:p>
        </w:tc>
      </w:tr>
      <w:tr>
        <w:trPr/>
        <w:tc>
          <w:p w14:paraId="00100022" w14:textId="00100023">
            <w:r>
              <w:t xml:space="preserve">Global Reactive Power (kW)</w:t>
            </w:r>
          </w:p>
        </w:tc>
        <w:tc>
          <w:p w14:paraId="00100024" w14:textId="00100025">
            <w:r>
              <w:t xml:space="preserve">Electricity drawn but not usefully consumed — typically ignored in billing</w:t>
            </w:r>
          </w:p>
        </w:tc>
      </w:tr>
      <w:tr>
        <w:trPr/>
        <w:tc>
          <w:p w14:paraId="00100026" w14:textId="00100027">
            <w:r>
              <w:t xml:space="preserve">Voltage (V)</w:t>
            </w:r>
          </w:p>
        </w:tc>
        <w:tc>
          <w:p w14:paraId="00100028" w14:textId="00100029">
            <w:r>
              <w:t xml:space="preserve">Mains supply voltage — normally close to 230V</w:t>
            </w:r>
          </w:p>
        </w:tc>
      </w:tr>
      <w:tr>
        <w:trPr/>
        <w:tc>
          <w:p w14:paraId="0010002A" w14:textId="0010002B">
            <w:r>
              <w:t xml:space="preserve">Global Intensity (A)</w:t>
            </w:r>
          </w:p>
        </w:tc>
        <w:tc>
          <w:p w14:paraId="0010002C" w14:textId="0010002D">
            <w:r>
              <w:t xml:space="preserve">Total current drawn — directly proportional to active power</w:t>
            </w:r>
          </w:p>
        </w:tc>
      </w:tr>
      <w:tr>
        <w:trPr/>
        <w:tc>
          <w:p w14:paraId="0010002E" w14:textId="0010002F">
            <w:r>
              <w:t xml:space="preserve">Sub Metering 1</w:t>
            </w:r>
          </w:p>
        </w:tc>
        <w:tc>
          <w:p w14:paraId="00100030" w14:textId="00100031">
            <w:r>
              <w:t xml:space="preserve">Energy used by kitchen appliances (dishwasher, oven, microwave) in watt-hours</w:t>
            </w:r>
          </w:p>
        </w:tc>
      </w:tr>
      <w:tr>
        <w:trPr/>
        <w:tc>
          <w:p w14:paraId="00100032" w14:textId="00100033">
            <w:r>
              <w:t xml:space="preserve">Sub Metering 2</w:t>
            </w:r>
          </w:p>
        </w:tc>
        <w:tc>
          <w:p w14:paraId="00100034" w14:textId="00100035">
            <w:r>
              <w:t xml:space="preserve">Energy used by laundry room (washing machine, dryer, refrigerator)</w:t>
            </w:r>
          </w:p>
        </w:tc>
      </w:tr>
      <w:tr>
        <w:trPr/>
        <w:tc>
          <w:p w14:paraId="00100036" w14:textId="00100037">
            <w:r>
              <w:t xml:space="preserve">Sub Metering 3</w:t>
            </w:r>
          </w:p>
        </w:tc>
        <w:tc>
          <w:p w14:paraId="00100038" w14:textId="00100039">
            <w:r>
              <w:t xml:space="preserve">Energy used by heating and water heating systems (water heater, air conditioning)</w:t>
            </w:r>
          </w:p>
        </w:tc>
      </w:tr>
    </w:tbl>
    <w:p w14:paraId="0010003A" w14:textId="0010003B">
      <w:pPr>
        <w:pStyle w:val="Heading2"/>
        <w:spacing w:before="200" w:after="120"/>
      </w:pPr>
      <w:r>
        <w:rPr>
          <w:b/>
          <w:sz w:val="28"/>
        </w:rPr>
        <w:t xml:space="preserve">2.3 Data Cleaning Steps</w:t>
      </w:r>
    </w:p>
    <w:p w14:paraId="0010003C" w14:textId="0010003D">
      <w:pPr>
        <w:spacing w:after="320"/>
      </w:pPr>
      <w:r>
        <w:rPr>
          <w:sz w:val="22"/>
        </w:rPr>
        <w:t xml:space="preserve">Missing values: The original dataset uses ? as a placeholder. All such entries were converted to proper null values. Short gaps (up to 60 minutes) were filled using forward-fill. Longer gaps were removed. Data types: All numeric columns were explicitly cast to float. Date and Time were merged into a single timestamp. Derived columns: Energy in kWh was calculated as power x (1/60 hour) per minute. Cost and CO2 were derived using UK national averages.</w:t>
      </w:r>
    </w:p>
    <w:p w14:paraId="0010003E" w14:textId="0010003F">
      <w:pPr>
        <w:pStyle w:val="Heading1"/>
        <w:spacing w:before="240" w:after="160"/>
      </w:pPr>
      <w:r>
        <w:rPr>
          <w:b/>
          <w:sz w:val="36"/>
        </w:rPr>
        <w:t xml:space="preserve">3. Key Performance Indicators (KPIs)</w:t>
      </w:r>
    </w:p>
    <w:p w14:paraId="00100040" w14:textId="00100041">
      <w:pPr>
        <w:spacing w:after="160"/>
      </w:pPr>
      <w:r>
        <w:rPr>
          <w:sz w:val="22"/>
        </w:rPr>
        <w:t xml:space="preserve">The dashboard tracks five headline KPIs. All monetary values use a unit rate of £0.28 per kWh (UK average, 2024). Carbon emissions use 0.233 kg CO2 per kWh (UK grid intensity, DESNZ 2023).</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2" w14:textId="00100043">
            <w:r>
              <w:t xml:space="preserve">KPI</w:t>
            </w:r>
          </w:p>
        </w:tc>
        <w:tc>
          <w:p w14:paraId="00100044" w14:textId="00100045">
            <w:r>
              <w:t xml:space="preserve">Value</w:t>
            </w:r>
          </w:p>
        </w:tc>
        <w:tc>
          <w:p w14:paraId="00100046" w14:textId="00100047">
            <w:r>
              <w:t xml:space="preserve">What It Means</w:t>
            </w:r>
          </w:p>
        </w:tc>
      </w:tr>
      <w:tr>
        <w:trPr/>
        <w:tc>
          <w:p w14:paraId="00100048" w14:textId="00100049">
            <w:r>
              <w:t xml:space="preserve">Total Consumption</w:t>
            </w:r>
          </w:p>
        </w:tc>
        <w:tc>
          <w:p w14:paraId="0010004A" w14:textId="0010004B">
            <w:r>
              <w:t xml:space="preserve">37,296 kWh</w:t>
            </w:r>
          </w:p>
        </w:tc>
        <w:tc>
          <w:p w14:paraId="0010004C" w14:textId="0010004D">
            <w:r>
              <w:t xml:space="preserve">Total energy used over 4 years — equivalent to running a kettle non-stop for 13+ years</w:t>
            </w:r>
          </w:p>
        </w:tc>
      </w:tr>
      <w:tr>
        <w:trPr/>
        <w:tc>
          <w:p w14:paraId="0010004E" w14:textId="0010004F">
            <w:r>
              <w:t xml:space="preserve">Estimated Total Cost</w:t>
            </w:r>
          </w:p>
        </w:tc>
        <w:tc>
          <w:p w14:paraId="00100050" w14:textId="00100051">
            <w:r>
              <w:t xml:space="preserve">£10,443</w:t>
            </w:r>
          </w:p>
        </w:tc>
        <w:tc>
          <w:p w14:paraId="00100052" w14:textId="00100053">
            <w:r>
              <w:t xml:space="preserve">At £0.28/kWh — equivalent to £2,611/year or £218/month</w:t>
            </w:r>
          </w:p>
        </w:tc>
      </w:tr>
      <w:tr>
        <w:trPr/>
        <w:tc>
          <w:p w14:paraId="00100054" w14:textId="00100055">
            <w:r>
              <w:t xml:space="preserve">Total CO2 Emitted</w:t>
            </w:r>
          </w:p>
        </w:tc>
        <w:tc>
          <w:p w14:paraId="00100056" w14:textId="00100057">
            <w:r>
              <w:t xml:space="preserve">8.7 tonnes</w:t>
            </w:r>
          </w:p>
        </w:tc>
        <w:tc>
          <w:p w14:paraId="00100058" w14:textId="00100059">
            <w:r>
              <w:t xml:space="preserve">Electricity carbon footprint over 4 years — like driving a petrol car ~50,000 miles</w:t>
            </w:r>
          </w:p>
        </w:tc>
      </w:tr>
      <w:tr>
        <w:trPr/>
        <w:tc>
          <w:p w14:paraId="0010005A" w14:textId="0010005B">
            <w:r>
              <w:t xml:space="preserve">Peak-Hour Demand Share</w:t>
            </w:r>
          </w:p>
        </w:tc>
        <w:tc>
          <w:p w14:paraId="0010005C" w14:textId="0010005D">
            <w:r>
              <w:t xml:space="preserve">39.4%</w:t>
            </w:r>
          </w:p>
        </w:tc>
        <w:tc>
          <w:p w14:paraId="0010005E" w14:textId="0010005F">
            <w:r>
              <w:t xml:space="preserve">Nearly 2/5 of all electricity consumed during morning (7–10am) and evening (5–9pm) peaks</w:t>
            </w:r>
          </w:p>
        </w:tc>
      </w:tr>
      <w:tr>
        <w:trPr/>
        <w:tc>
          <w:p w14:paraId="00100060" w14:textId="00100061">
            <w:r>
              <w:t xml:space="preserve">Average Daily Usage</w:t>
            </w:r>
          </w:p>
        </w:tc>
        <w:tc>
          <w:p w14:paraId="00100062" w14:textId="00100063">
            <w:r>
              <w:t xml:space="preserve">26.0 kWh/day</w:t>
            </w:r>
          </w:p>
        </w:tc>
        <w:tc>
          <w:p w14:paraId="00100064" w14:textId="00100065">
            <w:r>
              <w:t xml:space="preserve">Typical day's consumption — above UK average of 8–10 kWh/day, suggesting older less efficient home</w:t>
            </w:r>
          </w:p>
        </w:tc>
      </w:tr>
      <w:tr>
        <w:trPr/>
        <w:tc>
          <w:p w14:paraId="00100066" w14:textId="00100067">
            <w:r>
              <w:t xml:space="preserve">Max Instantaneous Demand</w:t>
            </w:r>
          </w:p>
        </w:tc>
        <w:tc>
          <w:p w14:paraId="00100068" w14:textId="00100069">
            <w:r>
              <w:t xml:space="preserve">~11 kW</w:t>
            </w:r>
          </w:p>
        </w:tc>
        <w:tc>
          <w:p w14:paraId="0010006A" w14:textId="0010006B">
            <w:r>
              <w:t xml:space="preserve">Highest single-minute power draw — relevant for circuit sizing and overload risk</w:t>
            </w:r>
          </w:p>
        </w:tc>
      </w:tr>
    </w:tbl>
    <w:p w14:paraId="0010006C" w14:textId="0010006D">
      <w:pPr>
        <w:pStyle w:val="Heading2"/>
        <w:spacing w:before="200" w:after="120"/>
      </w:pPr>
      <w:r>
        <w:rPr>
          <w:b/>
          <w:sz w:val="28"/>
        </w:rPr>
        <w:t xml:space="preserve">3.1 Appliance Usage Share</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6E" w14:textId="0010006F">
            <w:r>
              <w:t xml:space="preserve">Circuit</w:t>
            </w:r>
          </w:p>
        </w:tc>
        <w:tc>
          <w:p w14:paraId="00100070" w14:textId="00100071">
            <w:r>
              <w:t xml:space="preserve">Share of Metered Usage</w:t>
            </w:r>
          </w:p>
        </w:tc>
      </w:tr>
      <w:tr>
        <w:trPr/>
        <w:tc>
          <w:p w14:paraId="00100072" w14:textId="00100073">
            <w:r>
              <w:t xml:space="preserve">Kitchen (Sub-1: dishwasher, oven)</w:t>
            </w:r>
          </w:p>
        </w:tc>
        <w:tc>
          <w:p w14:paraId="00100074" w14:textId="00100075">
            <w:r>
              <w:t xml:space="preserve">~6%</w:t>
            </w:r>
          </w:p>
        </w:tc>
      </w:tr>
      <w:tr>
        <w:trPr/>
        <w:tc>
          <w:p w14:paraId="00100076" w14:textId="00100077">
            <w:r>
              <w:t xml:space="preserve">Laundry (Sub-2: washing machine, fridge)</w:t>
            </w:r>
          </w:p>
        </w:tc>
        <w:tc>
          <w:p w14:paraId="00100078" w14:textId="00100079">
            <w:r>
              <w:t xml:space="preserve">~2%</w:t>
            </w:r>
          </w:p>
        </w:tc>
      </w:tr>
      <w:tr>
        <w:trPr/>
        <w:tc>
          <w:p w14:paraId="0010007A" w14:textId="0010007B">
            <w:r>
              <w:t xml:space="preserve">HVAC / Water Heater (Sub-3)</w:t>
            </w:r>
          </w:p>
        </w:tc>
        <w:tc>
          <w:p w14:paraId="0010007C" w14:textId="0010007D">
            <w:r>
              <w:t xml:space="preserve">~35%</w:t>
            </w:r>
          </w:p>
        </w:tc>
      </w:tr>
      <w:tr>
        <w:trPr/>
        <w:tc>
          <w:p w14:paraId="0010007E" w14:textId="0010007F">
            <w:r>
              <w:t xml:space="preserve">Other / Unmetered (lighting, electronics)</w:t>
            </w:r>
          </w:p>
        </w:tc>
        <w:tc>
          <w:p w14:paraId="00100080" w14:textId="00100081">
            <w:r>
              <w:t xml:space="preserve">~57%</w:t>
            </w:r>
          </w:p>
        </w:tc>
      </w:tr>
    </w:tbl>
    <w:p w14:paraId="00100082" w14:textId="00100083">
      <w:pPr>
        <w:pStyle w:val="Heading1"/>
        <w:spacing w:before="240" w:after="160"/>
      </w:pPr>
      <w:r>
        <w:rPr>
          <w:b/>
          <w:sz w:val="36"/>
        </w:rPr>
        <w:t xml:space="preserve">4. Consumption Trends &amp; Patterns</w:t>
      </w:r>
    </w:p>
    <w:p w14:paraId="00100084" w14:textId="00100085">
      <w:pPr>
        <w:pStyle w:val="Heading2"/>
        <w:spacing w:after="120"/>
      </w:pPr>
      <w:r>
        <w:rPr>
          <w:b/>
          <w:sz w:val="28"/>
        </w:rPr>
        <w:t xml:space="preserve">4.1 Seasonal Patterns</w:t>
      </w:r>
    </w:p>
    <w:p w14:paraId="00100086" w14:textId="00100087">
      <w:pPr>
        <w:spacing w:after="160"/>
      </w:pPr>
      <w:r>
        <w:rPr>
          <w:sz w:val="22"/>
        </w:rPr>
        <w:t xml:space="preserve">Energy use follows a strong seasonal cycle. Winter months (December–February) consistently see the highest consumption — typically 30–40% above the annual average — driven by heating, reduced daylight, and increased indoor activity. Summer months show the lowest demand. The dashboard's monthly bar chart and seasonal breakdown visualise this clearly.</w:t>
      </w:r>
    </w:p>
    <w:p w14:paraId="00100088" w14:textId="00100089">
      <w:pPr>
        <w:pStyle w:val="Heading2"/>
        <w:spacing w:after="120"/>
      </w:pPr>
      <w:r>
        <w:rPr>
          <w:b/>
          <w:sz w:val="28"/>
        </w:rPr>
        <w:t xml:space="preserve">4.2 Time-of-Day Patterns</w:t>
      </w:r>
    </w:p>
    <w:p w14:paraId="0010008A" w14:textId="0010008B">
      <w:pPr>
        <w:spacing w:after="160"/>
      </w:pPr>
      <w:r>
        <w:rPr>
          <w:sz w:val="22"/>
        </w:rPr>
        <w:t xml:space="preserve">The hourly heatmap reveals two clear daily peaks: a morning peak (7–9 am) from breakfast routines and showering, most pronounced on weekdays; and a larger evening peak (5–9 pm) from concurrent cooking, television, lighting, and heating. Overnight hours (11 pm–5 am) show very low baseline standby loads.</w:t>
      </w:r>
    </w:p>
    <w:p w14:paraId="0010008C" w14:textId="0010008D">
      <w:pPr>
        <w:pStyle w:val="Heading2"/>
        <w:spacing w:after="120"/>
      </w:pPr>
      <w:r>
        <w:rPr>
          <w:b/>
          <w:sz w:val="28"/>
        </w:rPr>
        <w:t xml:space="preserve">4.3 Weekday vs Weekend</w:t>
      </w:r>
    </w:p>
    <w:p w14:paraId="0010008E" w14:textId="0010008F">
      <w:pPr>
        <w:spacing w:after="320"/>
      </w:pPr>
      <w:r>
        <w:rPr>
          <w:sz w:val="22"/>
        </w:rPr>
        <w:t xml:space="preserve">Weekend consumption is slightly higher than weekday on average because occupants are home for more of the day. Peak timing shifts to later in the morning (9–10 am) and the evening peak is more spread out — consistent with a typical European household work pattern.</w:t>
      </w:r>
    </w:p>
    <w:p w14:paraId="00100090" w14:textId="00100091">
      <w:pPr>
        <w:pStyle w:val="Heading1"/>
        <w:spacing w:before="240" w:after="160"/>
      </w:pPr>
      <w:r>
        <w:rPr>
          <w:b/>
          <w:sz w:val="36"/>
        </w:rPr>
        <w:t xml:space="preserve">5. Drivers of High Energy Consumption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92" w14:textId="00100093">
            <w:r>
              <w:t xml:space="preserve">Driver</w:t>
            </w:r>
          </w:p>
        </w:tc>
        <w:tc>
          <w:p w14:paraId="00100094" w14:textId="00100095">
            <w:r>
              <w:t xml:space="preserve">Relative Impact</w:t>
            </w:r>
          </w:p>
        </w:tc>
        <w:tc>
          <w:p w14:paraId="00100096" w14:textId="00100097">
            <w:r>
              <w:t xml:space="preserve">Plain-language Explanation</w:t>
            </w:r>
          </w:p>
        </w:tc>
      </w:tr>
      <w:tr>
        <w:trPr/>
        <w:tc>
          <w:p w14:paraId="00100098" w14:textId="00100099">
            <w:r>
              <w:t xml:space="preserve">Season (Winter)</w:t>
            </w:r>
          </w:p>
        </w:tc>
        <w:tc>
          <w:p w14:paraId="0010009A" w14:textId="0010009B">
            <w:r>
              <w:t xml:space="preserve">High</w:t>
            </w:r>
          </w:p>
        </w:tc>
        <w:tc>
          <w:p w14:paraId="0010009C" w14:textId="0010009D">
            <w:r>
              <w:t xml:space="preserve">Cold months roughly double energy demand vs summer. Heating is the dominant cost.</w:t>
            </w:r>
          </w:p>
        </w:tc>
      </w:tr>
      <w:tr>
        <w:trPr/>
        <w:tc>
          <w:p w14:paraId="0010009E" w14:textId="0010009F">
            <w:r>
              <w:t xml:space="preserve">Time of Day (Evening)</w:t>
            </w:r>
          </w:p>
        </w:tc>
        <w:tc>
          <w:p w14:paraId="001000A0" w14:textId="001000A1">
            <w:r>
              <w:t xml:space="preserve">High</w:t>
            </w:r>
          </w:p>
        </w:tc>
        <w:tc>
          <w:p w14:paraId="001000A2" w14:textId="001000A3">
            <w:r>
              <w:t xml:space="preserve">The 5–9 pm window alone accounts for a disproportionate share of daily consumption.</w:t>
            </w:r>
          </w:p>
        </w:tc>
      </w:tr>
      <w:tr>
        <w:trPr/>
        <w:tc>
          <w:p w14:paraId="001000A4" w14:textId="001000A5">
            <w:r>
              <w:t xml:space="preserve">Recent Usage Trend</w:t>
            </w:r>
          </w:p>
        </w:tc>
        <w:tc>
          <w:p w14:paraId="001000A6" w14:textId="001000A7">
            <w:r>
              <w:t xml:space="preserve">Medium</w:t>
            </w:r>
          </w:p>
        </w:tc>
        <w:tc>
          <w:p w14:paraId="001000A8" w14:textId="001000A9">
            <w:r>
              <w:t xml:space="preserve">High-usage days tend to cluster — yesterday's high usage predicts today's (captured by lag features).</w:t>
            </w:r>
          </w:p>
        </w:tc>
      </w:tr>
      <w:tr>
        <w:trPr/>
        <w:tc>
          <w:p w14:paraId="001000AA" w14:textId="001000AB">
            <w:r>
              <w:t xml:space="preserve">Day of Week</w:t>
            </w:r>
          </w:p>
        </w:tc>
        <w:tc>
          <w:p w14:paraId="001000AC" w14:textId="001000AD">
            <w:r>
              <w:t xml:space="preserve">Medium</w:t>
            </w:r>
          </w:p>
        </w:tc>
        <w:tc>
          <w:p w14:paraId="001000AE" w14:textId="001000AF">
            <w:r>
              <w:t xml:space="preserve">Weekends average slightly higher than weekdays due to full-day occupancy.</w:t>
            </w:r>
          </w:p>
        </w:tc>
      </w:tr>
      <w:tr>
        <w:trPr/>
        <w:tc>
          <w:p w14:paraId="001000B0" w14:textId="001000B1">
            <w:r>
              <w:t xml:space="preserve">Month of Year</w:t>
            </w:r>
          </w:p>
        </w:tc>
        <w:tc>
          <w:p w14:paraId="001000B2" w14:textId="001000B3">
            <w:r>
              <w:t xml:space="preserve">Medium</w:t>
            </w:r>
          </w:p>
        </w:tc>
        <w:tc>
          <w:p w14:paraId="001000B4" w14:textId="001000B5">
            <w:r>
              <w:t xml:space="preserve">Consumption rises from September as temperatures fall, peaking in December–January.</w:t>
            </w:r>
          </w:p>
        </w:tc>
      </w:tr>
    </w:tbl>
    <w:p w14:paraId="001000B6" w14:textId="001000B7">
      <w:pPr>
        <w:spacing w:before="160" w:after="320"/>
      </w:pPr>
      <w:r>
        <w:rPr>
          <w:sz w:val="22"/>
        </w:rPr>
        <w:t xml:space="preserve">The machine learning model confirms: most important features are 7-day and 30-day rolling averages, individual lag values, and month of year.</w:t>
      </w:r>
    </w:p>
    <w:p w14:paraId="001000B8" w14:textId="001000B9">
      <w:pPr>
        <w:pStyle w:val="Heading1"/>
        <w:spacing w:before="240" w:after="160"/>
      </w:pPr>
      <w:r>
        <w:rPr>
          <w:b/>
          <w:sz w:val="36"/>
        </w:rPr>
        <w:t xml:space="preserve">6. Risk Analysis</w:t>
      </w:r>
    </w:p>
    <w:p w14:paraId="001000BA" w14:textId="001000BB">
      <w:pPr>
        <w:pStyle w:val="Heading2"/>
        <w:spacing w:after="120"/>
      </w:pPr>
      <w:r>
        <w:rPr>
          <w:b/>
          <w:sz w:val="28"/>
        </w:rPr>
        <w:t xml:space="preserve">6.1 Risk 1 — Peak-Hour Demand Overload</w:t>
      </w:r>
    </w:p>
    <w:p w14:paraId="001000BC" w14:textId="001000BD">
      <w:pPr>
        <w:spacing w:after="160"/>
      </w:pPr>
      <w:r>
        <w:rPr>
          <w:sz w:val="22"/>
        </w:rPr>
        <w:t xml:space="preserve">The household draws power above the 95th percentile threshold (around 5.5–6 kW) on roughly 5% of days, with instantaneous peaks exceeding 10 kW on extreme days. Running the oven, washing machine, and kettle simultaneously during the evening peak is the most common trigger and risks tripping circuit breakers.</w:t>
      </w:r>
    </w:p>
    <w:p w14:paraId="001000BE" w14:textId="001000BF">
      <w:pPr>
        <w:pStyle w:val="Heading2"/>
        <w:spacing w:after="120"/>
      </w:pPr>
      <w:r>
        <w:rPr>
          <w:b/>
          <w:sz w:val="28"/>
        </w:rPr>
        <w:t xml:space="preserve">6.2 Risk 2 — Rising Cost Trend</w:t>
      </w:r>
    </w:p>
    <w:p w14:paraId="001000C0" w14:textId="001000C1">
      <w:pPr>
        <w:spacing w:after="160"/>
      </w:pPr>
      <w:r>
        <w:rPr>
          <w:sz w:val="22"/>
        </w:rPr>
        <w:t xml:space="preserve">The consumption pattern shows no material reduction over the four-year period. At the 2024 rate of £0.28/kWh, annual cost is approximately £2,611. If rates rise to £0.40/kWh — a plausible scenario — the same consumption would cost £3,730/year, an increase of over £1,100 annually.</w:t>
      </w:r>
    </w:p>
    <w:p w14:paraId="001000C2" w14:textId="001000C3">
      <w:pPr>
        <w:pStyle w:val="Heading2"/>
        <w:spacing w:after="120"/>
      </w:pPr>
      <w:r>
        <w:rPr>
          <w:b/>
          <w:sz w:val="28"/>
        </w:rPr>
        <w:t xml:space="preserve">6.3 Risk 3 — Winter Consumption Spikes</w:t>
      </w:r>
    </w:p>
    <w:p w14:paraId="001000C4" w14:textId="001000C5">
      <w:pPr>
        <w:spacing w:after="320"/>
      </w:pPr>
      <w:r>
        <w:rPr>
          <w:sz w:val="22"/>
        </w:rPr>
        <w:t xml:space="preserve">Winter median daily consumption (~32 kWh) is nearly 1.5x higher than summer (~21 kWh). A single cold snap can push daily usage above 40–50 kWh, causing monthly bills to spike unexpectedly — particularly problematic for households on fixed incomes.</w:t>
      </w:r>
    </w:p>
    <w:p w14:paraId="001000C6" w14:textId="001000C7">
      <w:pPr>
        <w:pStyle w:val="Heading1"/>
        <w:spacing w:before="240" w:after="160"/>
      </w:pPr>
      <w:r>
        <w:rPr>
          <w:b/>
          <w:sz w:val="36"/>
        </w:rPr>
        <w:t xml:space="preserve">7. Opportunity Analysis</w:t>
      </w:r>
    </w:p>
    <w:p w14:paraId="001000C8" w14:textId="001000C9">
      <w:pPr>
        <w:pStyle w:val="Heading2"/>
        <w:spacing w:after="120"/>
      </w:pPr>
      <w:r>
        <w:rPr>
          <w:b/>
          <w:sz w:val="28"/>
        </w:rPr>
        <w:t xml:space="preserve">7.1 Load Shifting — Time-of-Use Tariff</w:t>
      </w:r>
    </w:p>
    <w:p w14:paraId="001000CA" w14:textId="001000CB">
      <w:pPr>
        <w:spacing w:after="160"/>
      </w:pPr>
      <w:r>
        <w:rPr>
          <w:sz w:val="22"/>
        </w:rPr>
        <w:t xml:space="preserve">UK suppliers offer Time-of-Use tariffs (e.g. Octopus Go) with lower overnight rates. Shifting discretionary loads — washing machine, dishwasher, EV charging — from evening peak to overnight off-peak could save 15–20% on bills. Shifting just 20% of peak-hour usage saves approximately £99/year with no lifestyle change.</w:t>
      </w:r>
    </w:p>
    <w:p w14:paraId="001000CC" w14:textId="001000CD">
      <w:pPr>
        <w:pStyle w:val="Heading2"/>
        <w:spacing w:after="120"/>
      </w:pPr>
      <w:r>
        <w:rPr>
          <w:b/>
          <w:sz w:val="28"/>
        </w:rPr>
        <w:t xml:space="preserve">7.2 Solar Panel Installation</w:t>
      </w:r>
    </w:p>
    <w:p w14:paraId="001000CE" w14:textId="001000CF">
      <w:pPr>
        <w:spacing w:after="160"/>
      </w:pPr>
      <w:r>
        <w:rPr>
          <w:sz w:val="22"/>
        </w:rPr>
        <w:t xml:space="preserve">A 4 kWp rooftop solar system generates ~3,400 kWh/year, saving ~£952/year at current rates. Typical installed cost in 2024 is ~£6,500, giving a payback period of 6.8 years. Over a 25-year lifespan the cumulative saving is ~£23,800.</w:t>
      </w:r>
    </w:p>
    <w:p w14:paraId="001000D0" w14:textId="001000D1">
      <w:pPr>
        <w:pStyle w:val="Heading2"/>
        <w:spacing w:after="120"/>
      </w:pPr>
      <w:r>
        <w:rPr>
          <w:b/>
          <w:sz w:val="28"/>
        </w:rPr>
        <w:t xml:space="preserve">7.3 Smart Thermostat &amp; Insulation</w:t>
      </w:r>
    </w:p>
    <w:p w14:paraId="001000D2" w14:textId="001000D3">
      <w:pPr>
        <w:spacing w:after="320"/>
      </w:pPr>
      <w:r>
        <w:rPr>
          <w:sz w:val="22"/>
        </w:rPr>
        <w:t xml:space="preserve">HVAC/water heating (Sub-3) accounts for ~35% of metered consumption. A smart thermostat could cut heating energy by 10–20%. Combined with loft insulation (payback 2–3 years), this is the single highest-impact low-cost intervention available.</w:t>
      </w:r>
    </w:p>
    <w:p w14:paraId="001000D4" w14:textId="001000D5">
      <w:pPr>
        <w:pStyle w:val="Heading1"/>
        <w:spacing w:before="240" w:after="160"/>
      </w:pPr>
      <w:r>
        <w:rPr>
          <w:b/>
          <w:sz w:val="36"/>
        </w:rPr>
        <w:t xml:space="preserve">8. Energy Demand Forecast (Machine Learning Model)</w:t>
      </w:r>
    </w:p>
    <w:p w14:paraId="001000D6" w14:textId="001000D7">
      <w:pPr>
        <w:spacing w:after="320"/>
      </w:pPr>
      <w:r>
        <w:rPr>
          <w:sz w:val="22"/>
        </w:rPr>
        <w:t xml:space="preserve">The dashboard includes a 30-day energy forecast powered by a Random Forest Regressor trained on calendar features (month, weekday, weekend flag), lag features (consumption 1, 2, 3, and 7 days prior), and rolling averages (7-day and 30-day). Model performance: R2 = 0.40, MAE = 4.28 kWh/day (~16% of average daily use). Adding outdoor temperature data would significantly improve accuracy.</w:t>
      </w:r>
    </w:p>
    <w:p w14:paraId="001000D8" w14:textId="001000D9">
      <w:pPr>
        <w:pStyle w:val="Heading1"/>
        <w:spacing w:before="240" w:after="160"/>
      </w:pPr>
      <w:r>
        <w:rPr>
          <w:b/>
          <w:sz w:val="36"/>
        </w:rPr>
        <w:t xml:space="preserve">9. Recommended Actions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DA" w14:textId="001000DB">
            <w:r>
              <w:t xml:space="preserve">Priority</w:t>
            </w:r>
          </w:p>
        </w:tc>
        <w:tc>
          <w:p w14:paraId="001000DC" w14:textId="001000DD">
            <w:r>
              <w:t xml:space="preserve">Action</w:t>
            </w:r>
          </w:p>
        </w:tc>
        <w:tc>
          <w:p w14:paraId="001000DE" w14:textId="001000DF">
            <w:r>
              <w:t xml:space="preserve">Annual Saving</w:t>
            </w:r>
          </w:p>
        </w:tc>
        <w:tc>
          <w:p w14:paraId="001000E0" w14:textId="001000E1">
            <w:r>
              <w:t xml:space="preserve">Effort / Cost</w:t>
            </w:r>
          </w:p>
        </w:tc>
      </w:tr>
      <w:tr>
        <w:trPr/>
        <w:tc>
          <w:p w14:paraId="001000E2" w14:textId="001000E3">
            <w:r>
              <w:t xml:space="preserve">HIGH</w:t>
            </w:r>
          </w:p>
        </w:tc>
        <w:tc>
          <w:p w14:paraId="001000E4" w14:textId="001000E5">
            <w:r>
              <w:t xml:space="preserve">Switch to Time-of-Use tariff and programme washing machine / dishwasher overnight</w:t>
            </w:r>
          </w:p>
        </w:tc>
        <w:tc>
          <w:p w14:paraId="001000E6" w14:textId="001000E7">
            <w:r>
              <w:t xml:space="preserve">£99–£150</w:t>
            </w:r>
          </w:p>
        </w:tc>
        <w:tc>
          <w:p w14:paraId="001000E8" w14:textId="001000E9">
            <w:r>
              <w:t xml:space="preserve">Low / Free</w:t>
            </w:r>
          </w:p>
        </w:tc>
      </w:tr>
      <w:tr>
        <w:trPr/>
        <w:tc>
          <w:p w14:paraId="001000EA" w14:textId="001000EB">
            <w:r>
              <w:t xml:space="preserve">HIGH</w:t>
            </w:r>
          </w:p>
        </w:tc>
        <w:tc>
          <w:p w14:paraId="001000EC" w14:textId="001000ED">
            <w:r>
              <w:t xml:space="preserve">Install smart thermostat (e.g. Nest, Hive) to prevent heating empty rooms</w:t>
            </w:r>
          </w:p>
        </w:tc>
        <w:tc>
          <w:p w14:paraId="001000EE" w14:textId="001000EF">
            <w:r>
              <w:t xml:space="preserve">£100–£200</w:t>
            </w:r>
          </w:p>
        </w:tc>
        <w:tc>
          <w:p w14:paraId="001000F0" w14:textId="001000F1">
            <w:r>
              <w:t xml:space="preserve">Low / £100–£200</w:t>
            </w:r>
          </w:p>
        </w:tc>
      </w:tr>
      <w:tr>
        <w:trPr/>
        <w:tc>
          <w:p w14:paraId="001000F2" w14:textId="001000F3">
            <w:r>
              <w:t xml:space="preserve">MEDIUM</w:t>
            </w:r>
          </w:p>
        </w:tc>
        <w:tc>
          <w:p w14:paraId="001000F4" w14:textId="001000F5">
            <w:r>
              <w:t xml:space="preserve">Install 4 kWp solar PV system</w:t>
            </w:r>
          </w:p>
        </w:tc>
        <w:tc>
          <w:p w14:paraId="001000F6" w14:textId="001000F7">
            <w:r>
              <w:t xml:space="preserve">£952</w:t>
            </w:r>
          </w:p>
        </w:tc>
        <w:tc>
          <w:p w14:paraId="001000F8" w14:textId="001000F9">
            <w:r>
              <w:t xml:space="preserve">High / £6,500 (6.8yr payback)</w:t>
            </w:r>
          </w:p>
        </w:tc>
      </w:tr>
      <w:tr>
        <w:trPr/>
        <w:tc>
          <w:p w14:paraId="001000FA" w14:textId="001000FB">
            <w:r>
              <w:t xml:space="preserve">MEDIUM</w:t>
            </w:r>
          </w:p>
        </w:tc>
        <w:tc>
          <w:p w14:paraId="001000FC" w14:textId="001000FD">
            <w:r>
              <w:t xml:space="preserve">Add loft and wall insulation to reduce winter heating load</w:t>
            </w:r>
          </w:p>
        </w:tc>
        <w:tc>
          <w:p w14:paraId="001000FE" w14:textId="001000FF">
            <w:r>
              <w:t xml:space="preserve">£150–£300</w:t>
            </w:r>
          </w:p>
        </w:tc>
        <w:tc>
          <w:p w14:paraId="00100100" w14:textId="00100101">
            <w:r>
              <w:t xml:space="preserve">Medium / £300–£1,500</w:t>
            </w:r>
          </w:p>
        </w:tc>
      </w:tr>
      <w:tr>
        <w:trPr/>
        <w:tc>
          <w:p w14:paraId="00100102" w14:textId="00100103">
            <w:r>
              <w:t xml:space="preserve">LOW</w:t>
            </w:r>
          </w:p>
        </w:tc>
        <w:tc>
          <w:p w14:paraId="00100104" w14:textId="00100105">
            <w:r>
              <w:t xml:space="preserve">Replace remaining non-LED lighting</w:t>
            </w:r>
          </w:p>
        </w:tc>
        <w:tc>
          <w:p w14:paraId="00100106" w14:textId="00100107">
            <w:r>
              <w:t xml:space="preserve">£30–£50</w:t>
            </w:r>
          </w:p>
        </w:tc>
        <w:tc>
          <w:p w14:paraId="00100108" w14:textId="00100109">
            <w:r>
              <w:t xml:space="preserve">Very Low / £20–£50</w:t>
            </w:r>
          </w:p>
        </w:tc>
      </w:tr>
      <w:tr>
        <w:trPr/>
        <w:tc>
          <w:p w14:paraId="0010010A" w14:textId="0010010B">
            <w:r>
              <w:t xml:space="preserve">LOW</w:t>
            </w:r>
          </w:p>
        </w:tc>
        <w:tc>
          <w:p w14:paraId="0010010C" w14:textId="0010010D">
            <w:r>
              <w:t xml:space="preserve">Set up automated alerts when daily usage exceeds P95 threshold</w:t>
            </w:r>
          </w:p>
        </w:tc>
        <w:tc>
          <w:p w14:paraId="0010010E" w14:textId="0010010F">
            <w:r>
              <w:t xml:space="preserve">Awareness benefit</w:t>
            </w:r>
          </w:p>
        </w:tc>
        <w:tc>
          <w:p w14:paraId="00100110" w14:textId="00100111">
            <w:r>
              <w:t xml:space="preserve">Very Low / Free</w:t>
            </w:r>
          </w:p>
        </w:tc>
      </w:tr>
    </w:tbl>
    <w:p w14:paraId="00100112" w14:textId="00100113">
      <w:pPr>
        <w:spacing w:before="160" w:after="320"/>
      </w:pPr>
      <w:r>
        <w:rPr>
          <w:b/>
          <w:sz w:val="22"/>
        </w:rPr>
        <w:t xml:space="preserve">Implementing the top three actions (Time-of-Use tariff, smart thermostat, and solar) could save £1,150–£1,450/year — a 44–56% reduction on the estimated £2,611 annual bill.</w:t>
      </w:r>
    </w:p>
    <w:p w14:paraId="00100114" w14:textId="00100115">
      <w:pPr>
        <w:pStyle w:val="Heading1"/>
        <w:spacing w:before="240" w:after="160"/>
      </w:pPr>
      <w:r>
        <w:rPr>
          <w:b/>
          <w:sz w:val="36"/>
        </w:rPr>
        <w:t xml:space="preserve">10. Dashboard Navigation Guide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16" w14:textId="00100117">
            <w:r>
              <w:t xml:space="preserve">Dashboard Page</w:t>
            </w:r>
          </w:p>
        </w:tc>
        <w:tc>
          <w:p w14:paraId="00100118" w14:textId="00100119">
            <w:r>
              <w:t xml:space="preserve">Contents &amp; Key Visualisations</w:t>
            </w:r>
          </w:p>
        </w:tc>
      </w:tr>
      <w:tr>
        <w:trPr/>
        <w:tc>
          <w:p w14:paraId="0010011A" w14:textId="0010011B">
            <w:r>
              <w:t xml:space="preserve">Page 1: Executive Overview</w:t>
            </w:r>
          </w:p>
        </w:tc>
        <w:tc>
          <w:p w14:paraId="0010011C" w14:textId="0010011D">
            <w:r>
              <w:t xml:space="preserve">8 KPI metric cards, appliance donut chart, monthly consumption bar chart, year-by-year table, 30-day ML forecast preview</w:t>
            </w:r>
          </w:p>
        </w:tc>
      </w:tr>
      <w:tr>
        <w:trPr/>
        <w:tc>
          <w:p w14:paraId="0010011E" w14:textId="0010011F">
            <w:r>
              <w:t xml:space="preserve">Page 2: Consumption &amp; Cost Analysis</w:t>
            </w:r>
          </w:p>
        </w:tc>
        <w:tc>
          <w:p w14:paraId="00100120" w14:textId="00100121">
            <w:r>
              <w:t xml:space="preserve">Daily trend + rolling average, seasonal &amp; weekday bars, hourly heatmap, sub-metering area chart, monthly cost trend, ML model validation chart + feature importance + 30-day forecast table</w:t>
            </w:r>
          </w:p>
        </w:tc>
      </w:tr>
      <w:tr>
        <w:trPr/>
        <w:tc>
          <w:p w14:paraId="00100122" w14:textId="00100123">
            <w:r>
              <w:t xml:space="preserve">Page 3: Risk &amp; Opportunity Analysis</w:t>
            </w:r>
          </w:p>
        </w:tc>
        <w:tc>
          <w:p w14:paraId="00100124" w14:textId="00100125">
            <w:r>
              <w:t xml:space="preserve">Peak overload chart with P90/P95 thresholds, annual cost bar chart, seasonal boxplots, load-shifting bar chart, solar ROI curve, colour-coded recommended actions</w:t>
            </w:r>
          </w:p>
        </w:tc>
      </w:tr>
    </w:tbl>
    <w:p w14:paraId="00100126" w14:textId="00100127">
      <w:pPr>
        <w:spacing w:before="160" w:after="320"/>
      </w:pPr>
      <w:r>
        <w:rPr>
          <w:sz w:val="22"/>
        </w:rPr>
        <w:t xml:space="preserve">To run: pip install -r requirements.txt then streamlit run app.py. Opens at http://localhost:8501.</w:t>
      </w:r>
    </w:p>
    <w:p w14:paraId="00100128" w14:textId="00100129">
      <w:pPr>
        <w:pStyle w:val="Heading1"/>
        <w:spacing w:before="240" w:after="120"/>
      </w:pPr>
      <w:r>
        <w:rPr>
          <w:b/>
          <w:sz w:val="32"/>
        </w:rPr>
        <w:t xml:space="preserve">Appendix — Assumptions</w:t>
      </w:r>
    </w:p>
    <w:p w14:paraId="0010012A" w14:textId="0010012B">
      <w:pPr>
        <w:spacing w:after="480"/>
      </w:pPr>
      <w:r>
        <w:rPr>
          <w:sz w:val="20"/>
        </w:rPr>
        <w:t xml:space="preserve">Electricity rate: £0.28/kWh (Ofgem price cap, 2024). Carbon intensity: 0.233 kg CO2/kWh (DESNZ 2023). Peak hours: 07:00–09:59 and 17:00–20:59. Solar: 4 kWp, 3,400 kWh/yr, £6,500 install (EST 2024). Missing values forward-filled ≤60 min. ML: RandomForestRegressor, 100 trees, 80/20 chronological split.</w:t>
      </w:r>
    </w:p>
    <w:p w14:paraId="0010012C" w14:textId="0010012D">
      <w:pPr>
        <w:spacing w:before="240"/>
        <w:jc w:val="center"/>
      </w:pPr>
      <w:r>
        <w:rPr>
          <w:color w:val="888888"/>
          <w:sz w:val="18"/>
        </w:rPr>
        <w:t xml:space="preserve">Made with IBM Bob  |  Household Energy Analytics Project</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4aff4b1418fe47d8" /><Relationship Type="http://schemas.openxmlformats.org/officeDocument/2006/relationships/styles" Target="/word/styles.xml" Id="R7719d2c618034ecf" /><Relationship Type="http://schemas.openxmlformats.org/officeDocument/2006/relationships/theme" Target="/word/theme/theme1.xml" Id="R1def2c19ed604e71" /><Relationship Type="http://schemas.openxmlformats.org/officeDocument/2006/relationships/numbering" Target="/word/numbering.xml" Id="Rbc73842c63fc42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2026-09-24T16:42:10Z</dcterms:created>
  <cp:lastModifiedBy>OfficeCLI</cp:lastModifiedBy>
  <dcterms:modified xsi:type="dcterms:W3CDTF">2026-09-24T16:42:10Z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2026-09-24T16:43:39Z</vt:lpwstr>
  </op:property>
</op:Properties>
</file>