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100DF645" w:rsidR="001614D0" w:rsidRPr="00DE4481" w:rsidRDefault="005D5418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Sadržaj</w:t>
          </w:r>
        </w:p>
        <w:p w14:paraId="47E73E19" w14:textId="1848FF5F" w:rsidR="007B6979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241627" w:history="1">
            <w:r w:rsidR="007B6979" w:rsidRPr="008D3C2F">
              <w:rPr>
                <w:rStyle w:val="Hyperlink"/>
                <w:noProof/>
              </w:rPr>
              <w:t>Modeliranje</w:t>
            </w:r>
            <w:r w:rsidR="007B6979" w:rsidRPr="008D3C2F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_Toc62241627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1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0D4632EE" w14:textId="2238F25C" w:rsidR="007B6979" w:rsidRDefault="009A7F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8" w:history="1">
            <w:r w:rsidR="007B6979" w:rsidRPr="008D3C2F">
              <w:rPr>
                <w:rStyle w:val="Hyperlink"/>
                <w:noProof/>
                <w:lang w:val="sr-Latn-RS"/>
              </w:rPr>
              <w:t>Objekat upravljanja kao fizički proces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_Toc62241628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1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591C92E0" w14:textId="3EC87E6E" w:rsidR="007B6979" w:rsidRDefault="009A7F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9" w:history="1">
            <w:r w:rsidR="007B6979" w:rsidRPr="008D3C2F">
              <w:rPr>
                <w:rStyle w:val="Hyperlink"/>
                <w:noProof/>
                <w:lang w:val="sr-Latn-RS"/>
              </w:rPr>
              <w:t>Modeliranje fizičkih pojava u sistemu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_Toc62241629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3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383B80FB" w14:textId="20283B01" w:rsidR="007B6979" w:rsidRDefault="009A7F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0" w:history="1">
            <w:r w:rsidR="007B6979" w:rsidRPr="008D3C2F">
              <w:rPr>
                <w:rStyle w:val="Hyperlink"/>
                <w:noProof/>
                <w:lang w:val="sr-Latn-RS"/>
              </w:rPr>
              <w:t>Izbor nominalnog režima rada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_Toc62241630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4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5DCFDC59" w14:textId="5A55D68B" w:rsidR="007B6979" w:rsidRDefault="009A7F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1" w:history="1">
            <w:r w:rsidR="007B6979" w:rsidRPr="008D3C2F">
              <w:rPr>
                <w:rStyle w:val="Hyperlink"/>
                <w:noProof/>
                <w:lang w:val="sr-Latn-RS"/>
              </w:rPr>
              <w:t>Vrednosti parametara, opseg vrednosti upravljanja i izvor poremećaja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_Toc62241631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4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0A4520E5" w14:textId="48C5EA03" w:rsidR="007B6979" w:rsidRDefault="009A7F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2" w:history="1">
            <w:r w:rsidR="007B6979" w:rsidRPr="008D3C2F">
              <w:rPr>
                <w:rStyle w:val="Hyperlink"/>
                <w:noProof/>
                <w:lang w:val="sr-Latn-RS"/>
              </w:rPr>
              <w:t>Vremenske konstante prelaznih pojava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_Toc62241632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4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190BAD83" w14:textId="2E241B75" w:rsidR="007B6979" w:rsidRDefault="009A7F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3" w:history="1">
            <w:r w:rsidR="007B6979" w:rsidRPr="008D3C2F">
              <w:rPr>
                <w:rStyle w:val="Hyperlink"/>
                <w:noProof/>
                <w:lang w:val="sr-Latn-RS"/>
              </w:rPr>
              <w:t>Pregled dostupne literature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_Toc62241633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5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700C3688" w14:textId="544AD33A" w:rsidR="007B6979" w:rsidRDefault="009A7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4" w:history="1">
            <w:r w:rsidR="007B6979" w:rsidRPr="008D3C2F">
              <w:rPr>
                <w:rStyle w:val="Hyperlink"/>
                <w:noProof/>
                <w:lang w:val="sr-Latn-RS"/>
              </w:rPr>
              <w:t>Projektovanje nelinearnih sistema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_Toc62241634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1F94E53C" w14:textId="6C295740" w:rsidR="007B6979" w:rsidRDefault="009A7F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5" w:history="1">
            <w:r w:rsidR="007B6979" w:rsidRPr="008D3C2F">
              <w:rPr>
                <w:rStyle w:val="Hyperlink"/>
                <w:noProof/>
                <w:lang w:val="sr-Latn-RS"/>
              </w:rPr>
              <w:t>Linearna regulacija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_Toc62241635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2E2B02F1" w14:textId="1ABE0DAE" w:rsidR="007B6979" w:rsidRDefault="009A7F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6" w:history="1">
            <w:r w:rsidR="007B6979" w:rsidRPr="008D3C2F">
              <w:rPr>
                <w:rStyle w:val="Hyperlink"/>
                <w:noProof/>
                <w:lang w:val="sr-Latn-RS"/>
              </w:rPr>
              <w:t>Feedback linearizacija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_Toc62241636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431CB0B7" w14:textId="09989B72" w:rsidR="007B6979" w:rsidRDefault="009A7F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7" w:history="1">
            <w:r w:rsidR="007B6979" w:rsidRPr="008D3C2F">
              <w:rPr>
                <w:rStyle w:val="Hyperlink"/>
                <w:noProof/>
                <w:lang w:val="sr-Latn-RS"/>
              </w:rPr>
              <w:t>Klizno upravljanje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_Toc62241637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3EB43C2A" w14:textId="49FF6BC1" w:rsidR="007B6979" w:rsidRDefault="009A7F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8" w:history="1">
            <w:r w:rsidR="007B6979" w:rsidRPr="008D3C2F">
              <w:rPr>
                <w:rStyle w:val="Hyperlink"/>
                <w:noProof/>
                <w:lang w:val="sr-Latn-RS"/>
              </w:rPr>
              <w:t>Fuzzy upravljanje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_Toc62241638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2374EF60" w14:textId="3E45B839" w:rsidR="007B6979" w:rsidRDefault="009A7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9" w:history="1">
            <w:r w:rsidR="007B6979" w:rsidRPr="008D3C2F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_Toc62241639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581000BA" w14:textId="2296F019" w:rsidR="007B6979" w:rsidRDefault="009A7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0" w:history="1">
            <w:r w:rsidR="007B6979" w:rsidRPr="008D3C2F">
              <w:rPr>
                <w:rStyle w:val="Hyperlink"/>
                <w:noProof/>
                <w:lang w:val="sr-Latn-RS"/>
              </w:rPr>
              <w:t>Zaključak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_Toc62241640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78F8CB04" w14:textId="78AC257E" w:rsidR="007B6979" w:rsidRDefault="009A7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1" w:history="1">
            <w:r w:rsidR="007B6979" w:rsidRPr="008D3C2F">
              <w:rPr>
                <w:rStyle w:val="Hyperlink"/>
                <w:noProof/>
                <w:lang w:val="sr-Latn-RS"/>
              </w:rPr>
              <w:t>Literatura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_Toc62241641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3AD7CFA4" w14:textId="7B91446C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12AEA1A1" w14:textId="77777777" w:rsidR="008B475A" w:rsidRDefault="008B475A" w:rsidP="007C44A0">
      <w:pPr>
        <w:pStyle w:val="Heading1"/>
        <w:sectPr w:rsidR="008B475A" w:rsidSect="001614D0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4BFFEA" w14:textId="54711E92" w:rsidR="00AB5E9F" w:rsidRDefault="00AB5E9F" w:rsidP="007C44A0">
      <w:pPr>
        <w:pStyle w:val="Heading1"/>
        <w:rPr>
          <w:lang w:val="sr-Latn-RS"/>
        </w:rPr>
      </w:pPr>
      <w:bookmarkStart w:id="0" w:name="_Toc62241627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241628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</w:p>
    <w:p w14:paraId="09579DF7" w14:textId="2AA3D5B0" w:rsidR="00181D88" w:rsidRPr="001A098C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sr-Latn-RS"/>
        </w:rPr>
      </w:pPr>
      <w:r w:rsidRPr="005D5418">
        <w:rPr>
          <w:rFonts w:ascii="Times New Roman" w:hAnsi="Times New Roman" w:cs="Times New Roman"/>
          <w:highlight w:val="green"/>
          <w:lang w:val="sr-Latn-RS"/>
        </w:rPr>
        <w:t xml:space="preserve">Prekidački izvori napona ili </w:t>
      </w:r>
      <w:r w:rsidRPr="005D5418">
        <w:rPr>
          <w:rFonts w:ascii="Times New Roman" w:hAnsi="Times New Roman" w:cs="Times New Roman"/>
          <w:i/>
          <w:iCs/>
          <w:highlight w:val="green"/>
          <w:lang w:val="sr-Latn-RS"/>
        </w:rPr>
        <w:t>čoperi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su električna kola koja služe da sa vis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o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kom efikasnošću 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>pojačavaju ili slabe nivo ulaznog napona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 xml:space="preserve">. </w:t>
      </w:r>
      <w:r w:rsidRPr="005D5418">
        <w:rPr>
          <w:rFonts w:ascii="Times New Roman" w:hAnsi="Times New Roman" w:cs="Times New Roman"/>
          <w:highlight w:val="green"/>
          <w:lang w:val="sr-Latn-RS"/>
        </w:rPr>
        <w:t>Buck-Boost DC/DC konvertor je jed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an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takav 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D5418" w:rsidRPr="005D5418">
        <w:rPr>
          <w:rFonts w:ascii="Times New Roman" w:hAnsi="Times New Roman" w:cs="Times New Roman"/>
          <w:highlight w:val="yellow"/>
          <w:lang w:val="sr-Latn-RS"/>
        </w:rPr>
        <w:t>Ovo može biti deo uvoda.</w:t>
      </w:r>
      <w:r w:rsidR="005D5418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 w:rsidRPr="001A098C">
        <w:rPr>
          <w:rFonts w:ascii="Times New Roman" w:hAnsi="Times New Roman" w:cs="Times New Roman"/>
          <w:lang w:val="sr-Latn-RS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r>
              <w:rPr>
                <w:rFonts w:ascii="Cambria Math" w:hAnsi="Cambria Math" w:cs="Times New Roman"/>
                <w:lang w:val="sr-Latn-RS"/>
              </w:rPr>
              <m:t>∞</m:t>
            </m:r>
            <m:r>
              <m:rPr>
                <m:sty m:val="p"/>
              </m:rPr>
              <w:rPr>
                <w:rFonts w:ascii="Cambria Math" w:hAnsi="Cambria Math" w:cs="Times New Roman"/>
                <w:lang w:val="sr-Latn-RS"/>
              </w:rPr>
              <w:softHyphen/>
            </m:r>
            <m:r>
              <w:rPr>
                <w:rFonts w:ascii="Cambria Math" w:hAnsi="Cambria Math" w:cs="Times New Roman"/>
                <w:lang w:val="sr-Latn-RS"/>
              </w:rPr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lang w:val="sr-Latn-RS"/>
          </w:rPr>
          <w:softHyphen/>
        </m:r>
      </m:oMath>
      <w:r w:rsidR="00406431" w:rsidRPr="001A098C">
        <w:rPr>
          <w:rFonts w:ascii="Times New Roman" w:eastAsiaTheme="minorEastAsia" w:hAnsi="Times New Roman" w:cs="Times New Roman"/>
          <w:lang w:val="sr-Latn-RS"/>
        </w:rPr>
        <w:t>.</w:t>
      </w:r>
      <w:r w:rsidR="00C30BDB" w:rsidRPr="001A098C">
        <w:rPr>
          <w:rFonts w:ascii="Times New Roman" w:eastAsiaTheme="minorEastAsia" w:hAnsi="Times New Roman" w:cs="Times New Roman"/>
          <w:lang w:val="sr-Latn-RS"/>
        </w:rPr>
        <w:t xml:space="preserve"> Treba reći da postoji i neinvertujući buck-boost DC-DC konvertor koji sadrži četiri poluprovodnička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2" w:name="_Toc62241629"/>
      <w:r>
        <w:rPr>
          <w:lang w:val="sr-Latn-RS"/>
        </w:rPr>
        <w:t>Modeliranje fizičkih pojava u sistemu</w:t>
      </w:r>
      <w:bookmarkEnd w:id="2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72A97C17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</w:t>
      </w:r>
      <w:r>
        <w:rPr>
          <w:lang w:val="sr-Latn-RS"/>
        </w:rPr>
        <w:t>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513E269E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</w:t>
      </w:r>
      <w:r w:rsidR="00600150">
        <w:rPr>
          <w:rFonts w:eastAsiaTheme="minorEastAsia"/>
          <w:lang w:val="sr-Latn-RS"/>
        </w:rPr>
        <w:t xml:space="preserve"> u formi afinoj po upravljanju</w:t>
      </w:r>
      <w:r w:rsidR="00534EE3">
        <w:rPr>
          <w:rFonts w:eastAsiaTheme="minorEastAsia"/>
          <w:lang w:val="sr-Latn-RS"/>
        </w:rPr>
        <w:t>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060488F3" w:rsidR="00534EE3" w:rsidRPr="00534EE3" w:rsidRDefault="009A7F52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1B5943C9" w14:textId="434162FE" w:rsidR="00534EE3" w:rsidRPr="00534EE3" w:rsidRDefault="009A7F52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u</m:t>
          </m:r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</w:p>
    <w:p w14:paraId="05D0A126" w14:textId="7DB2BA7E" w:rsidR="00BB1154" w:rsidRDefault="00BB1154" w:rsidP="00BB1154">
      <w:pPr>
        <w:pStyle w:val="Heading2"/>
        <w:rPr>
          <w:lang w:val="sr-Latn-RS"/>
        </w:rPr>
      </w:pPr>
      <w:bookmarkStart w:id="3" w:name="_Toc62241630"/>
      <w:r>
        <w:rPr>
          <w:lang w:val="sr-Latn-RS"/>
        </w:rPr>
        <w:t>Izbor nominalnog režima rada</w:t>
      </w:r>
      <w:bookmarkEnd w:id="3"/>
    </w:p>
    <w:p w14:paraId="4CA9667D" w14:textId="7E444AAB" w:rsidR="00534EE3" w:rsidRDefault="00534EE3" w:rsidP="00534EE3">
      <w:pPr>
        <w:rPr>
          <w:lang w:val="sr-Latn-RS"/>
        </w:rPr>
      </w:pPr>
    </w:p>
    <w:p w14:paraId="1CF171D7" w14:textId="5B2A419C" w:rsidR="00A44B7B" w:rsidRDefault="00A44B7B" w:rsidP="00A44B7B">
      <w:pPr>
        <w:pStyle w:val="Heading3"/>
        <w:rPr>
          <w:lang w:val="sr-Latn-RS"/>
        </w:rPr>
      </w:pPr>
      <w:bookmarkStart w:id="4" w:name="_Toc62241631"/>
      <w:r>
        <w:rPr>
          <w:lang w:val="sr-Latn-RS"/>
        </w:rPr>
        <w:t>Vrednosti parametara, opseg vrednosti upravljanja i izvor poremećaja</w:t>
      </w:r>
      <w:bookmarkEnd w:id="4"/>
    </w:p>
    <w:p w14:paraId="7F23D6AF" w14:textId="77777777" w:rsidR="00A44B7B" w:rsidRPr="00A44B7B" w:rsidRDefault="00A44B7B" w:rsidP="00A44B7B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788B3984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  <w:r w:rsidR="002851B6">
        <w:rPr>
          <w:lang w:val="sr-Latn-RS"/>
        </w:rPr>
        <w:t xml:space="preserve">Kasnije će biti pokazano da je upravljanje koje daje nominalnu vrednost izlaza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u</m:t>
            </m:r>
          </m:e>
          <m:sub>
            <m:r>
              <w:rPr>
                <w:rFonts w:ascii="Cambria Math" w:hAnsi="Cambria Math"/>
                <w:lang w:val="sr-Latn-RS"/>
              </w:rPr>
              <m:t>nom</m:t>
            </m:r>
          </m:sub>
        </m:sSub>
        <m:r>
          <w:rPr>
            <w:rFonts w:ascii="Cambria Math" w:hAnsi="Cambria Math"/>
            <w:lang w:val="sr-Latn-RS"/>
          </w:rPr>
          <m:t>=0.652</m:t>
        </m:r>
      </m:oMath>
      <w:r w:rsidR="002851B6">
        <w:rPr>
          <w:rFonts w:eastAsiaTheme="minorEastAsia"/>
          <w:lang w:val="sr-Latn-RS"/>
        </w:rPr>
        <w:t>.</w:t>
      </w:r>
    </w:p>
    <w:p w14:paraId="148343E6" w14:textId="549164D7" w:rsidR="00DA5530" w:rsidRPr="00534EE3" w:rsidRDefault="00DA5530" w:rsidP="002851B6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35725AEB" w14:textId="521F9F2F" w:rsidR="00BB1154" w:rsidRDefault="00BB1154" w:rsidP="00BB1154">
      <w:pPr>
        <w:pStyle w:val="Heading3"/>
        <w:rPr>
          <w:lang w:val="sr-Latn-RS"/>
        </w:rPr>
      </w:pPr>
      <w:bookmarkStart w:id="5" w:name="_Toc62241632"/>
      <w:r>
        <w:rPr>
          <w:lang w:val="sr-Latn-RS"/>
        </w:rPr>
        <w:t>Vremenske konstante prelaznih pojava</w:t>
      </w:r>
      <w:bookmarkEnd w:id="5"/>
    </w:p>
    <w:p w14:paraId="222AABA9" w14:textId="6820F79B" w:rsidR="002851B6" w:rsidRPr="0057274D" w:rsidRDefault="002851B6" w:rsidP="00A23C39">
      <w:pPr>
        <w:jc w:val="both"/>
        <w:rPr>
          <w:lang w:val="sr-Latn-RS"/>
        </w:rPr>
      </w:pPr>
    </w:p>
    <w:p w14:paraId="53C7F296" w14:textId="04C1BC78" w:rsidR="00A23C39" w:rsidRPr="0057274D" w:rsidRDefault="00A23C39" w:rsidP="00A23C39">
      <w:pPr>
        <w:jc w:val="both"/>
        <w:rPr>
          <w:rFonts w:eastAsiaTheme="minorEastAsia"/>
          <w:lang w:val="sr-Latn-RS"/>
        </w:rPr>
      </w:pPr>
      <w:r w:rsidRPr="0057274D">
        <w:rPr>
          <w:lang w:val="sr-Latn-RS"/>
        </w:rPr>
        <w:tab/>
        <w:t>Na slici</w:t>
      </w:r>
      <w:r w:rsidR="00F80CA0" w:rsidRPr="0057274D">
        <w:rPr>
          <w:lang w:val="sr-Latn-RS"/>
        </w:rPr>
        <w:t xml:space="preserve"> 5. </w:t>
      </w:r>
      <w:r w:rsidRPr="0057274D">
        <w:rPr>
          <w:lang w:val="sr-Latn-RS"/>
        </w:rPr>
        <w:t xml:space="preserve">se </w:t>
      </w:r>
      <w:r w:rsidR="00F80CA0" w:rsidRPr="0057274D">
        <w:rPr>
          <w:lang w:val="sr-Latn-RS"/>
        </w:rPr>
        <w:t xml:space="preserve">može </w:t>
      </w:r>
      <w:r w:rsidRPr="0057274D">
        <w:rPr>
          <w:lang w:val="sr-Latn-RS"/>
        </w:rPr>
        <w:t xml:space="preserve">videti odziv sistema u otvorenoj sprezi na step pobudu </w:t>
      </w:r>
      <w:r w:rsidR="00F80CA0" w:rsidRPr="0057274D">
        <w:rPr>
          <w:lang w:val="sr-Latn-RS"/>
        </w:rPr>
        <w:t xml:space="preserve">jednaku nominalnom upravljanju. </w:t>
      </w:r>
      <w:r w:rsidR="00EE324E" w:rsidRPr="0057274D">
        <w:rPr>
          <w:lang w:val="sr-Latn-RS"/>
        </w:rPr>
        <w:t xml:space="preserve">Sa odziva se može pročitati vreme uspona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sr-Latn-RS"/>
          </w:rPr>
          <m:t xml:space="preserve">=0.0092 </m:t>
        </m:r>
        <m:r>
          <w:rPr>
            <w:rFonts w:ascii="Cambria Math" w:hAnsi="Cambria Math"/>
          </w:rPr>
          <m:t>s</m:t>
        </m:r>
      </m:oMath>
      <w:r w:rsidR="00EE324E" w:rsidRPr="0057274D">
        <w:rPr>
          <w:rFonts w:eastAsiaTheme="minorEastAsia"/>
          <w:lang w:val="sr-Latn-RS"/>
        </w:rPr>
        <w:t xml:space="preserve">, vreme smirenja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=0.1814 </m:t>
        </m:r>
        <m:r>
          <w:rPr>
            <w:rFonts w:ascii="Cambria Math" w:eastAsiaTheme="minorEastAsia" w:hAnsi="Cambria Math"/>
          </w:rPr>
          <m:t>s</m:t>
        </m:r>
      </m:oMath>
      <w:r w:rsidR="00EE324E" w:rsidRPr="0057274D">
        <w:rPr>
          <w:rFonts w:eastAsiaTheme="minorEastAsia"/>
          <w:lang w:val="sr-Latn-RS"/>
        </w:rPr>
        <w:t>. Kako u sistemu rukujemo sa električnim veličinama brzi prelazni procesi su očekivani.</w:t>
      </w:r>
    </w:p>
    <w:p w14:paraId="1767F467" w14:textId="123C1DFF" w:rsidR="00EE324E" w:rsidRDefault="00EE324E" w:rsidP="00EE324E">
      <w:pPr>
        <w:jc w:val="center"/>
      </w:pPr>
      <w:r w:rsidRPr="00EE324E">
        <w:rPr>
          <w:noProof/>
        </w:rPr>
        <w:lastRenderedPageBreak/>
        <w:drawing>
          <wp:inline distT="0" distB="0" distL="0" distR="0" wp14:anchorId="5F91A68D" wp14:editId="7AD56605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7B95" w14:textId="61C28F67" w:rsidR="00EE324E" w:rsidRPr="0058494D" w:rsidRDefault="00EE324E" w:rsidP="00EE324E">
      <w:pPr>
        <w:jc w:val="center"/>
        <w:rPr>
          <w:lang w:val="sr-Latn-RS"/>
        </w:rPr>
      </w:pPr>
      <w:r w:rsidRPr="00EE324E">
        <w:rPr>
          <w:lang w:val="de-DE"/>
        </w:rPr>
        <w:t>Slika 5. Odziv</w:t>
      </w:r>
      <w:r>
        <w:rPr>
          <w:lang w:val="de-DE"/>
        </w:rPr>
        <w:t xml:space="preserve"> </w:t>
      </w:r>
      <w:r w:rsidR="0058494D">
        <w:rPr>
          <w:lang w:val="sr-Latn-RS"/>
        </w:rPr>
        <w:t>sistema u otvorenoj sprezi.</w:t>
      </w:r>
    </w:p>
    <w:p w14:paraId="0040DE3F" w14:textId="0FBEBFFE" w:rsidR="00BB1154" w:rsidRDefault="00BB1154" w:rsidP="00BB1154">
      <w:pPr>
        <w:pStyle w:val="Heading3"/>
        <w:rPr>
          <w:lang w:val="sr-Latn-RS"/>
        </w:rPr>
      </w:pPr>
      <w:bookmarkStart w:id="6" w:name="_Toc62241633"/>
      <w:r>
        <w:rPr>
          <w:lang w:val="sr-Latn-RS"/>
        </w:rPr>
        <w:t>Pregled dostupne literature</w:t>
      </w:r>
      <w:bookmarkEnd w:id="6"/>
    </w:p>
    <w:p w14:paraId="0C7E3168" w14:textId="6474A278" w:rsidR="0011270B" w:rsidRPr="0011270B" w:rsidRDefault="0011270B" w:rsidP="0011270B">
      <w:pPr>
        <w:rPr>
          <w:lang w:val="sr-Latn-RS"/>
        </w:rPr>
      </w:pPr>
      <w:r>
        <w:rPr>
          <w:lang w:val="sr-Latn-RS"/>
        </w:rPr>
        <w:br w:type="page"/>
      </w:r>
    </w:p>
    <w:p w14:paraId="5F090E4A" w14:textId="6989C157" w:rsidR="00AB5E9F" w:rsidRDefault="00AB5E9F" w:rsidP="00AB5E9F">
      <w:pPr>
        <w:pStyle w:val="Heading1"/>
        <w:rPr>
          <w:lang w:val="sr-Latn-RS"/>
        </w:rPr>
      </w:pPr>
      <w:bookmarkStart w:id="7" w:name="_Toc62241634"/>
      <w:r>
        <w:rPr>
          <w:lang w:val="sr-Latn-RS"/>
        </w:rPr>
        <w:lastRenderedPageBreak/>
        <w:t>Projektovanje nelinearnih sistema upravljanja</w:t>
      </w:r>
      <w:bookmarkEnd w:id="7"/>
    </w:p>
    <w:p w14:paraId="64CB0816" w14:textId="5C0219E5" w:rsidR="0011270B" w:rsidRDefault="0011270B" w:rsidP="0011270B">
      <w:pPr>
        <w:rPr>
          <w:lang w:val="sr-Latn-RS"/>
        </w:rPr>
      </w:pPr>
    </w:p>
    <w:p w14:paraId="57A8413A" w14:textId="69EF97B7" w:rsidR="0011270B" w:rsidRPr="0011270B" w:rsidRDefault="0011270B" w:rsidP="0011270B">
      <w:pPr>
        <w:jc w:val="both"/>
        <w:rPr>
          <w:lang w:val="sr-Latn-RS"/>
        </w:rPr>
      </w:pPr>
      <w:r>
        <w:rPr>
          <w:lang w:val="sr-Latn-RS"/>
        </w:rPr>
        <w:tab/>
        <w:t xml:space="preserve">U nastavku ovog poglavlja </w:t>
      </w:r>
      <w:r w:rsidR="00FC50ED">
        <w:rPr>
          <w:lang w:val="sr-Latn-RS"/>
        </w:rPr>
        <w:t>razmatraćemo različite metode projektovanja kontrolera za dati objekat upavljanja.</w:t>
      </w:r>
    </w:p>
    <w:p w14:paraId="52793A4F" w14:textId="77777777" w:rsidR="0011270B" w:rsidRPr="0011270B" w:rsidRDefault="0011270B" w:rsidP="0011270B">
      <w:pPr>
        <w:rPr>
          <w:lang w:val="sr-Latn-RS"/>
        </w:rPr>
      </w:pPr>
    </w:p>
    <w:p w14:paraId="24F0E53F" w14:textId="2EEF43B4" w:rsidR="00AB5E9F" w:rsidRDefault="00991A4B" w:rsidP="00991A4B">
      <w:pPr>
        <w:pStyle w:val="Heading2"/>
        <w:rPr>
          <w:lang w:val="sr-Latn-RS"/>
        </w:rPr>
      </w:pPr>
      <w:bookmarkStart w:id="8" w:name="_Toc62241635"/>
      <w:r>
        <w:rPr>
          <w:lang w:val="sr-Latn-RS"/>
        </w:rPr>
        <w:t>Linearna regulacija</w:t>
      </w:r>
      <w:bookmarkEnd w:id="8"/>
    </w:p>
    <w:p w14:paraId="2C05224A" w14:textId="2B22D49A" w:rsidR="00697A24" w:rsidRDefault="00697A24" w:rsidP="00697A24">
      <w:pPr>
        <w:jc w:val="both"/>
        <w:rPr>
          <w:lang w:val="sr-Latn-RS"/>
        </w:rPr>
      </w:pPr>
    </w:p>
    <w:p w14:paraId="7242D7EE" w14:textId="3197D4F9" w:rsidR="003C16DA" w:rsidRDefault="00537BB7" w:rsidP="00697A24">
      <w:pPr>
        <w:jc w:val="both"/>
        <w:rPr>
          <w:lang w:val="sr-Latn-RS"/>
        </w:rPr>
      </w:pPr>
      <w:r>
        <w:rPr>
          <w:lang w:val="sr-Latn-RS"/>
        </w:rPr>
        <w:tab/>
        <w:t>Ideja ove metode upravljanja jeste da se sistem aproksimira linearnim sistemom u blizini radne tačke (nominalni režim). Postavljanjem vrednosti izvoda promenljivih stanja iz sistema jednačina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</w:t>
      </w:r>
      <w:r w:rsidR="00991BD4">
        <w:rPr>
          <w:lang w:val="sr-Latn-RS"/>
        </w:rPr>
        <w:t xml:space="preserve"> na nultu vrednost</w:t>
      </w:r>
      <w:r>
        <w:rPr>
          <w:lang w:val="sr-Latn-RS"/>
        </w:rPr>
        <w:t xml:space="preserve"> </w:t>
      </w:r>
      <w:r w:rsidR="00991BD4">
        <w:rPr>
          <w:lang w:val="sr-Latn-RS"/>
        </w:rPr>
        <w:t>dobijaju se sledeći izrazi za vrednosti promenljivih u stacionarnom stanju:</w:t>
      </w:r>
    </w:p>
    <w:p w14:paraId="28D2345E" w14:textId="4180EB83" w:rsidR="00991BD4" w:rsidRPr="00991BD4" w:rsidRDefault="009A7F52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1nom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= x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1e</m:t>
              </m:r>
            </m:sub>
          </m:sSub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DE8282" w14:textId="73F927E7" w:rsidR="00991BD4" w:rsidRPr="00991BD4" w:rsidRDefault="009A7F52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2nom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2e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u-1</m:t>
              </m:r>
            </m:den>
          </m:f>
        </m:oMath>
      </m:oMathPara>
    </w:p>
    <w:p w14:paraId="29A94769" w14:textId="20DE6EF2" w:rsidR="00991BD4" w:rsidRDefault="00991BD4" w:rsidP="00697A24">
      <w:pPr>
        <w:jc w:val="both"/>
        <w:rPr>
          <w:rFonts w:eastAsiaTheme="minorEastAsia"/>
          <w:iCs/>
          <w:lang w:val="sr-Latn-RS"/>
        </w:rPr>
      </w:pPr>
      <w:r w:rsidRPr="00991BD4">
        <w:rPr>
          <w:rFonts w:eastAsiaTheme="minorEastAsia"/>
          <w:iCs/>
        </w:rPr>
        <w:t>Iz prethodne jedna</w:t>
      </w:r>
      <w:r>
        <w:rPr>
          <w:rFonts w:eastAsiaTheme="minorEastAsia"/>
          <w:iCs/>
          <w:lang w:val="sr-Latn-RS"/>
        </w:rPr>
        <w:t>čine dobija se i izraz za vrednost nominalnog upravljanja:</w:t>
      </w:r>
    </w:p>
    <w:p w14:paraId="1052FEC7" w14:textId="40585708" w:rsidR="00991BD4" w:rsidRPr="00991BD4" w:rsidRDefault="009A7F52" w:rsidP="00697A24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den>
          </m:f>
        </m:oMath>
      </m:oMathPara>
    </w:p>
    <w:p w14:paraId="35ED6BCA" w14:textId="6156CEA9" w:rsidR="00697A24" w:rsidRDefault="001213C9" w:rsidP="00697A24">
      <w:pPr>
        <w:jc w:val="both"/>
        <w:rPr>
          <w:lang w:val="sr-Latn-RS"/>
        </w:rPr>
      </w:pPr>
      <w:r>
        <w:rPr>
          <w:lang w:val="sr-Latn-RS"/>
        </w:rPr>
        <w:tab/>
        <w:t>Primenom Jakobijana na sistem nelinearnih jadnačina datih izrazom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 dobijen je sledeći sistem linearnih jednačina:</w:t>
      </w:r>
    </w:p>
    <w:p w14:paraId="105657F0" w14:textId="01D3F801" w:rsidR="001213C9" w:rsidRPr="001213C9" w:rsidRDefault="009A7F52" w:rsidP="00697A24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=Hx+Du</m:t>
          </m:r>
        </m:oMath>
      </m:oMathPara>
    </w:p>
    <w:p w14:paraId="18F1683B" w14:textId="4DBBA975" w:rsidR="001213C9" w:rsidRPr="008938E2" w:rsidRDefault="001213C9" w:rsidP="008938E2">
      <w:pPr>
        <w:jc w:val="center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="MS Mincho" w:hAnsi="Cambria Math" w:cs="MS Mincho"/>
            </w:rPr>
            <m:t xml:space="preserve">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CR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 B=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rSpRule m:val="2"/>
                  <m:cSp m:val="120"/>
                  <m:cG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MS Mincho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 </m:t>
          </m:r>
          <m:r>
            <w:rPr>
              <w:rFonts w:ascii="Cambria Math" w:eastAsiaTheme="minorEastAsia" w:hAnsi="Cambria Math"/>
            </w:rPr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D=0</m:t>
          </m:r>
        </m:oMath>
      </m:oMathPara>
    </w:p>
    <w:p w14:paraId="25CEA9FC" w14:textId="2774B417" w:rsidR="005B64A3" w:rsidRDefault="005B64A3" w:rsidP="00697A24">
      <w:pPr>
        <w:jc w:val="both"/>
        <w:rPr>
          <w:rFonts w:ascii="Cambria Math" w:eastAsiaTheme="minorEastAsia" w:hAnsi="Cambria Math"/>
          <w:lang w:val="sr-Latn-RS"/>
        </w:rPr>
      </w:pPr>
      <w:r>
        <w:rPr>
          <w:rFonts w:ascii="Cambria Math" w:eastAsiaTheme="minorEastAsia" w:hAnsi="Cambria Math"/>
        </w:rPr>
        <w:t xml:space="preserve">Primenom izraza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ascii="Cambria Math" w:eastAsiaTheme="minorEastAsia" w:hAnsi="Cambria Math"/>
        </w:rPr>
        <w:t xml:space="preserve"> i zamenom </w:t>
      </w:r>
      <w:r>
        <w:rPr>
          <w:rFonts w:ascii="Cambria Math" w:eastAsiaTheme="minorEastAsia" w:hAnsi="Cambria Math"/>
          <w:lang w:val="sr-Latn-RS"/>
        </w:rPr>
        <w:t>vrednosti parametara objekta upravljanja dobija se sledeća funkcija prenosa linearizovanog modela objekta upravljanja:</w:t>
      </w:r>
    </w:p>
    <w:p w14:paraId="432DA4BB" w14:textId="2B301338" w:rsidR="005B64A3" w:rsidRPr="005B64A3" w:rsidRDefault="005B64A3" w:rsidP="00697A24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=2646.8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s-606.3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+40.92 s+1.618 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898C93F" w14:textId="77777777" w:rsidR="0057274D" w:rsidRDefault="0057274D" w:rsidP="00697A24">
      <w:pPr>
        <w:jc w:val="both"/>
        <w:rPr>
          <w:rFonts w:ascii="Cambria Math" w:eastAsiaTheme="minorEastAsia" w:hAnsi="Cambria Math"/>
          <w:lang w:val="sr-Latn-RS"/>
        </w:rPr>
      </w:pPr>
      <w:r>
        <w:rPr>
          <w:rFonts w:ascii="Cambria Math" w:eastAsiaTheme="minorEastAsia" w:hAnsi="Cambria Math"/>
          <w:lang w:val="sr-Latn-RS"/>
        </w:rPr>
        <w:t>Za ovakav linearizovani sistem projektujmo kontroler Ziegler-Nichols-ovom metodom frekvencijskog odziva. Sprovođenjem relejnog eksperimenta dobijeni su koeficijenti kontrolera u PID obliku. Ove koeficijente dalje blago podešavamo i posmatramo odziv sistema dok nismo zadovoljni. Dobijeni kontroler ima funkciju prenosa u sledećem obliku:</w:t>
      </w:r>
    </w:p>
    <w:p w14:paraId="0DD7B62E" w14:textId="43B73830" w:rsidR="005B64A3" w:rsidRPr="0057274D" w:rsidRDefault="0057274D" w:rsidP="0057274D">
      <w:pPr>
        <w:jc w:val="center"/>
        <w:rPr>
          <w:rFonts w:ascii="Cambria Math" w:eastAsiaTheme="minorEastAsia" w:hAnsi="Cambria Math"/>
          <w:i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w:lastRenderedPageBreak/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r>
            <w:rPr>
              <w:rFonts w:ascii="Cambria Math" w:eastAsiaTheme="minorEastAsia" w:hAnsi="Cambria Math"/>
            </w:rPr>
            <m:t>Kp</m:t>
          </m:r>
          <m:r>
            <w:rPr>
              <w:rFonts w:ascii="Cambria Math" w:eastAsiaTheme="minorEastAsia" w:hAnsi="Cambria Math"/>
              <w:lang w:val="sr-Latn-RS"/>
            </w:rPr>
            <m:t xml:space="preserve"> (1+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sr-Latn-RS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)</m:t>
          </m:r>
        </m:oMath>
      </m:oMathPara>
    </w:p>
    <w:p w14:paraId="66F35C75" w14:textId="3D12C767" w:rsidR="0057274D" w:rsidRPr="0057274D" w:rsidRDefault="0057274D" w:rsidP="0057274D">
      <w:pPr>
        <w:jc w:val="both"/>
        <w:rPr>
          <w:rFonts w:ascii="Cambria Math" w:eastAsiaTheme="minorEastAsia" w:hAnsi="Cambria Math"/>
          <w:iCs/>
          <w:lang w:val="sr-Latn-RS"/>
        </w:rPr>
      </w:pPr>
      <w:r>
        <w:rPr>
          <w:rFonts w:ascii="Cambria Math" w:eastAsiaTheme="minorEastAsia" w:hAnsi="Cambria Math"/>
          <w:iCs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p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r>
          <w:rPr>
            <w:rFonts w:ascii="Cambria Math" w:eastAsiaTheme="minorEastAsia" w:hAnsi="Cambria Math"/>
            <w:lang w:val="sr-Latn-RS"/>
          </w:rPr>
          <m:t>-0.0121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lang w:val="sr-Latn-RS"/>
          </w:rPr>
          <m:t>=0.009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/>
            <w:lang w:val="sr-Latn-RS"/>
          </w:rPr>
          <m:t>=0.009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/>
            <w:lang w:val="sr-Latn-RS"/>
          </w:rPr>
          <m:t>=4.5∙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-4</m:t>
            </m:r>
          </m:sup>
        </m:sSup>
      </m:oMath>
    </w:p>
    <w:p w14:paraId="108E7E5A" w14:textId="40B851CE" w:rsidR="00991A4B" w:rsidRDefault="00991A4B" w:rsidP="00991A4B">
      <w:pPr>
        <w:pStyle w:val="Heading2"/>
        <w:rPr>
          <w:lang w:val="sr-Latn-RS"/>
        </w:rPr>
      </w:pPr>
      <w:bookmarkStart w:id="9" w:name="_Toc62241636"/>
      <w:r>
        <w:rPr>
          <w:lang w:val="sr-Latn-RS"/>
        </w:rPr>
        <w:t>Feedback linearizacija</w:t>
      </w:r>
      <w:bookmarkEnd w:id="9"/>
    </w:p>
    <w:p w14:paraId="7A271CAE" w14:textId="49843F0A" w:rsidR="00F15CEE" w:rsidRDefault="00F15CEE" w:rsidP="00F15CEE">
      <w:pPr>
        <w:jc w:val="both"/>
        <w:rPr>
          <w:lang w:val="sr-Latn-RS"/>
        </w:rPr>
      </w:pPr>
    </w:p>
    <w:p w14:paraId="717337F9" w14:textId="35E323C3" w:rsidR="00F15CEE" w:rsidRDefault="00F15CEE" w:rsidP="00F15CEE">
      <w:pPr>
        <w:jc w:val="both"/>
        <w:rPr>
          <w:lang w:val="sr-Latn-RS"/>
        </w:rPr>
      </w:pPr>
      <w:r>
        <w:rPr>
          <w:lang w:val="sr-Latn-RS"/>
        </w:rPr>
        <w:tab/>
        <w:t>Cilj feedback linearizacije je zatvaranje povratne sprege na način koji će poništiti nelinearnosti i rezultovati linearnim sistemom, a zatim postaviti polove sistema tako da odziv sistema bude zadovoljavajući.</w:t>
      </w:r>
    </w:p>
    <w:p w14:paraId="65DFC03C" w14:textId="7A511363" w:rsidR="002A7554" w:rsidRDefault="002A7554" w:rsidP="00FD6639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Kako sistem dat jednačinama </w:t>
      </w:r>
      <w:r>
        <w:rPr>
          <w:lang w:val="sr-Latn-RS"/>
        </w:rPr>
        <w:t>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</w:t>
      </w:r>
      <w:r>
        <w:rPr>
          <w:lang w:val="sr-Latn-RS"/>
        </w:rPr>
        <w:t xml:space="preserve"> nije u kanoničkoj formi moramo primeniti transformaciju koja obezbeđuje relativni red sistema </w:t>
      </w:r>
      <m:oMath>
        <m:r>
          <w:rPr>
            <w:rFonts w:ascii="Cambria Math" w:hAnsi="Cambria Math"/>
            <w:lang w:val="sr-Latn-RS"/>
          </w:rPr>
          <m:t>r=n=2</m:t>
        </m:r>
      </m:oMath>
      <w:r>
        <w:rPr>
          <w:rFonts w:eastAsiaTheme="minorEastAsia"/>
          <w:lang w:val="sr-Latn-RS"/>
        </w:rPr>
        <w:t xml:space="preserve"> i </w:t>
      </w:r>
      <w:r w:rsidR="009E7DCD">
        <w:rPr>
          <w:rFonts w:eastAsiaTheme="minorEastAsia"/>
          <w:lang w:val="sr-Latn-RS"/>
        </w:rPr>
        <w:t>dovodi sistem u kanoničku formu. Takva transformacija za buck-boost DC-DC konvertor data je sledećim jednačinama:</w:t>
      </w:r>
    </w:p>
    <w:p w14:paraId="1361B095" w14:textId="12C1E3DE" w:rsidR="009E7DCD" w:rsidRPr="009E7DCD" w:rsidRDefault="009E7DCD" w:rsidP="009E7DCD">
      <w:pPr>
        <w:jc w:val="center"/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sr-Latn-RS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h(x)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sr-Latn-RS"/>
                      </w:rPr>
                      <m:t>h(x)</m:t>
                    </m:r>
                  </m:e>
                </m:mr>
              </m:m>
            </m:e>
          </m:d>
        </m:oMath>
      </m:oMathPara>
    </w:p>
    <w:p w14:paraId="3F4E1813" w14:textId="5849A430" w:rsidR="009E7DCD" w:rsidRPr="000C6A4C" w:rsidRDefault="009E7DCD" w:rsidP="009E7DC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=L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-2CE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-L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1e</m:t>
              </m:r>
            </m:sub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sr-Latn-RS"/>
            </w:rPr>
            <m:t>-C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sr-Latn-RS"/>
            </w:rPr>
            <m:t>+2CE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</m:sSub>
        </m:oMath>
      </m:oMathPara>
    </w:p>
    <w:p w14:paraId="7DA12542" w14:textId="6A881E5A" w:rsidR="00FD6639" w:rsidRDefault="000C6A4C" w:rsidP="009E7DC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Gde je </w:t>
      </w:r>
      <m:oMath>
        <m:r>
          <w:rPr>
            <w:rFonts w:ascii="Cambria Math" w:eastAsiaTheme="minorEastAsia" w:hAnsi="Cambria Math" w:cs="Times New Roman"/>
            <w:lang w:val="sr-Latn-RS"/>
          </w:rPr>
          <m:t>h(x)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nova funkcija izlaza za koju važi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>.</w:t>
      </w:r>
    </w:p>
    <w:p w14:paraId="030145E8" w14:textId="0E8490A4" w:rsidR="00FD6639" w:rsidRPr="00DE4481" w:rsidRDefault="00FD6639" w:rsidP="00FD6639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Da bi se obezbedilo praćenje reference prelazimo u sisem greške </w:t>
      </w:r>
      <m:oMath>
        <m:r>
          <w:rPr>
            <w:rFonts w:ascii="Cambria Math" w:eastAsiaTheme="minorEastAsia" w:hAnsi="Cambria Math" w:cs="Times New Roman"/>
            <w:lang w:val="sr-Latn-RS"/>
          </w:rPr>
          <m:t>e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a da bi se obezbedilo potiskivanje poremećaja dodaje se novo stanje u sistemu greške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1</m:t>
            </m:r>
          </m:sub>
        </m:sSub>
      </m:oMath>
    </w:p>
    <w:p w14:paraId="334F7E69" w14:textId="0C43815F" w:rsidR="009E7DCD" w:rsidRPr="009E7DCD" w:rsidRDefault="009E7DCD" w:rsidP="009E7DCD">
      <w:pPr>
        <w:jc w:val="center"/>
        <w:rPr>
          <w:iCs/>
          <w:lang w:val="sr-Latn-RS"/>
        </w:rPr>
      </w:pPr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0" w:name="_Toc62241637"/>
      <w:r>
        <w:rPr>
          <w:lang w:val="sr-Latn-RS"/>
        </w:rPr>
        <w:t>Klizno upravljanje</w:t>
      </w:r>
      <w:bookmarkEnd w:id="10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1" w:name="_Toc62241638"/>
      <w:r>
        <w:rPr>
          <w:lang w:val="sr-Latn-RS"/>
        </w:rPr>
        <w:t>Fuzzy upravljanje</w:t>
      </w:r>
      <w:bookmarkEnd w:id="11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2" w:name="_Toc62241639"/>
      <w:r>
        <w:rPr>
          <w:lang w:val="sr-Latn-RS"/>
        </w:rPr>
        <w:t>Komparativna analiza nelinearnih metoda upravljanja</w:t>
      </w:r>
      <w:bookmarkEnd w:id="12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3" w:name="_Toc62241640"/>
      <w:r>
        <w:rPr>
          <w:lang w:val="sr-Latn-RS"/>
        </w:rPr>
        <w:t>Zaključak</w:t>
      </w:r>
      <w:bookmarkEnd w:id="13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4" w:name="_Toc62241641"/>
      <w:r>
        <w:rPr>
          <w:lang w:val="sr-Latn-RS"/>
        </w:rPr>
        <w:t>Literatura</w:t>
      </w:r>
      <w:bookmarkEnd w:id="14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8B475A"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F57EE" w14:textId="77777777" w:rsidR="009A7F52" w:rsidRDefault="009A7F52" w:rsidP="00981B7C">
      <w:pPr>
        <w:spacing w:after="0" w:line="240" w:lineRule="auto"/>
      </w:pPr>
      <w:r>
        <w:separator/>
      </w:r>
    </w:p>
  </w:endnote>
  <w:endnote w:type="continuationSeparator" w:id="0">
    <w:p w14:paraId="53340B64" w14:textId="77777777" w:rsidR="009A7F52" w:rsidRDefault="009A7F52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352608"/>
      <w:docPartObj>
        <w:docPartGallery w:val="Page Numbers (Bottom of Page)"/>
        <w:docPartUnique/>
      </w:docPartObj>
    </w:sdtPr>
    <w:sdtEndPr/>
    <w:sdtContent>
      <w:p w14:paraId="07F4115E" w14:textId="77777777" w:rsidR="008B475A" w:rsidRDefault="008B47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394AFE0B" w14:textId="77777777" w:rsidR="008B475A" w:rsidRDefault="008B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0C957" w14:textId="77777777" w:rsidR="009A7F52" w:rsidRDefault="009A7F52" w:rsidP="00981B7C">
      <w:pPr>
        <w:spacing w:after="0" w:line="240" w:lineRule="auto"/>
      </w:pPr>
      <w:r>
        <w:separator/>
      </w:r>
    </w:p>
  </w:footnote>
  <w:footnote w:type="continuationSeparator" w:id="0">
    <w:p w14:paraId="3FA05667" w14:textId="77777777" w:rsidR="009A7F52" w:rsidRDefault="009A7F52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8B475A" w:rsidRDefault="00731ECE" w:rsidP="001614D0">
    <w:pPr>
      <w:pStyle w:val="Header"/>
      <w:rPr>
        <w:rFonts w:ascii="Times New Roman" w:hAnsi="Times New Roman" w:cs="Times New Roman"/>
        <w:sz w:val="28"/>
        <w:szCs w:val="28"/>
        <w:lang w:val="de-DE"/>
      </w:rPr>
    </w:pPr>
    <w:r w:rsidRPr="008B475A">
      <w:rPr>
        <w:rFonts w:ascii="Times New Roman" w:hAnsi="Times New Roman" w:cs="Times New Roman"/>
        <w:sz w:val="28"/>
        <w:szCs w:val="28"/>
        <w:lang w:val="de-DE"/>
      </w:rPr>
      <w:t>Elektrotehnički fakultet Univerziteta u Beogradu</w:t>
    </w:r>
  </w:p>
  <w:p w14:paraId="5242C437" w14:textId="77777777" w:rsidR="00731ECE" w:rsidRPr="008B475A" w:rsidRDefault="00731ECE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C6A4C"/>
    <w:rsid w:val="000D3924"/>
    <w:rsid w:val="000D3B15"/>
    <w:rsid w:val="000E3A8E"/>
    <w:rsid w:val="000E48A5"/>
    <w:rsid w:val="000F42B4"/>
    <w:rsid w:val="000F6737"/>
    <w:rsid w:val="0010567E"/>
    <w:rsid w:val="0011270B"/>
    <w:rsid w:val="001213C9"/>
    <w:rsid w:val="0012392F"/>
    <w:rsid w:val="00123CCD"/>
    <w:rsid w:val="0013511A"/>
    <w:rsid w:val="00136389"/>
    <w:rsid w:val="00147A39"/>
    <w:rsid w:val="001614D0"/>
    <w:rsid w:val="00181D88"/>
    <w:rsid w:val="00184B58"/>
    <w:rsid w:val="00195242"/>
    <w:rsid w:val="001A098C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851B6"/>
    <w:rsid w:val="00297672"/>
    <w:rsid w:val="002A44EC"/>
    <w:rsid w:val="002A7554"/>
    <w:rsid w:val="002B3BAF"/>
    <w:rsid w:val="002C12AD"/>
    <w:rsid w:val="002C765D"/>
    <w:rsid w:val="002D3676"/>
    <w:rsid w:val="002E32EB"/>
    <w:rsid w:val="002E41B8"/>
    <w:rsid w:val="002F2072"/>
    <w:rsid w:val="00321088"/>
    <w:rsid w:val="00323E81"/>
    <w:rsid w:val="00341204"/>
    <w:rsid w:val="00353D74"/>
    <w:rsid w:val="00370A3B"/>
    <w:rsid w:val="003919BC"/>
    <w:rsid w:val="003C16DA"/>
    <w:rsid w:val="003D09E4"/>
    <w:rsid w:val="003D1C59"/>
    <w:rsid w:val="003D6F0A"/>
    <w:rsid w:val="003E3B4B"/>
    <w:rsid w:val="003F16DD"/>
    <w:rsid w:val="003F2865"/>
    <w:rsid w:val="003F3730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37BB7"/>
    <w:rsid w:val="005403E9"/>
    <w:rsid w:val="00547321"/>
    <w:rsid w:val="0055289B"/>
    <w:rsid w:val="00564A58"/>
    <w:rsid w:val="0057274D"/>
    <w:rsid w:val="0057405B"/>
    <w:rsid w:val="00577120"/>
    <w:rsid w:val="0058494D"/>
    <w:rsid w:val="00591A47"/>
    <w:rsid w:val="005A56DA"/>
    <w:rsid w:val="005A6E75"/>
    <w:rsid w:val="005B64A3"/>
    <w:rsid w:val="005D5418"/>
    <w:rsid w:val="005D5E44"/>
    <w:rsid w:val="005D629E"/>
    <w:rsid w:val="00600150"/>
    <w:rsid w:val="00604994"/>
    <w:rsid w:val="006143F7"/>
    <w:rsid w:val="00634DC0"/>
    <w:rsid w:val="0065289B"/>
    <w:rsid w:val="00656914"/>
    <w:rsid w:val="0066120A"/>
    <w:rsid w:val="006641D5"/>
    <w:rsid w:val="00697A24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B6979"/>
    <w:rsid w:val="007C2DEB"/>
    <w:rsid w:val="007C44A0"/>
    <w:rsid w:val="007D04F9"/>
    <w:rsid w:val="007D0E3B"/>
    <w:rsid w:val="007D2A8A"/>
    <w:rsid w:val="007E3941"/>
    <w:rsid w:val="007E7808"/>
    <w:rsid w:val="007F0449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938E2"/>
    <w:rsid w:val="008A6044"/>
    <w:rsid w:val="008B475A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1BD4"/>
    <w:rsid w:val="009956DC"/>
    <w:rsid w:val="00996941"/>
    <w:rsid w:val="009A7F52"/>
    <w:rsid w:val="009B37AD"/>
    <w:rsid w:val="009D0869"/>
    <w:rsid w:val="009D70BC"/>
    <w:rsid w:val="009D7C12"/>
    <w:rsid w:val="009E159D"/>
    <w:rsid w:val="009E742A"/>
    <w:rsid w:val="009E7DCD"/>
    <w:rsid w:val="009F264F"/>
    <w:rsid w:val="00A03B3A"/>
    <w:rsid w:val="00A14BEC"/>
    <w:rsid w:val="00A23306"/>
    <w:rsid w:val="00A23C39"/>
    <w:rsid w:val="00A44B7B"/>
    <w:rsid w:val="00A53583"/>
    <w:rsid w:val="00A63DD0"/>
    <w:rsid w:val="00A66FFA"/>
    <w:rsid w:val="00A729A8"/>
    <w:rsid w:val="00A7403C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BE07D8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A5530"/>
    <w:rsid w:val="00DB0195"/>
    <w:rsid w:val="00DB5E27"/>
    <w:rsid w:val="00DE377F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E324E"/>
    <w:rsid w:val="00EF667D"/>
    <w:rsid w:val="00EF75D1"/>
    <w:rsid w:val="00F15CEE"/>
    <w:rsid w:val="00F17B17"/>
    <w:rsid w:val="00F25C95"/>
    <w:rsid w:val="00F5117F"/>
    <w:rsid w:val="00F70379"/>
    <w:rsid w:val="00F80CA0"/>
    <w:rsid w:val="00FB00C8"/>
    <w:rsid w:val="00FC4DEE"/>
    <w:rsid w:val="00FC50ED"/>
    <w:rsid w:val="00FD0C41"/>
    <w:rsid w:val="00FD6639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9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150</cp:revision>
  <dcterms:created xsi:type="dcterms:W3CDTF">2020-12-17T20:22:00Z</dcterms:created>
  <dcterms:modified xsi:type="dcterms:W3CDTF">2021-01-23T19:50:00Z</dcterms:modified>
</cp:coreProperties>
</file>