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8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Series 1</c:v>
          </c:tx>
          <c:spPr>
            <a:ln w="19050">
              <a:solidFill>
                <a:schemeClr val="lt1"/>
              </a:solidFill>
            </a:ln>
          </c:spPr>
          <c:dLbls>
            <c:showVal val="1"/>
            <c:showPercent val="1"/>
            <c:separator> - </c:separator>
            <c:showLeaderLines val="0"/>
          </c:dLbls>
          <c:cat>
            <c:strLit>
              <c:ptCount val="3"/>
              <c:pt idx="0">
                <c:v>Category1</c:v>
              </c:pt>
              <c:pt idx="1">
                <c:v>Category2</c:v>
              </c:pt>
              <c:pt idx="2">
                <c:v>Category3</c:v>
              </c:pt>
            </c:str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