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b/>
          <w:bCs/>
          <w:sz w:val="32"/>
          <w:szCs w:val="32"/>
        </w:rPr>
        <w:t xml:space="preserve">REPORT</w:t>
      </w:r>
    </w:p>
    <w:p>
      <w:pPr>
        <w:pStyle w:val="Heading1"/>
        <w:spacing w:after="200"/>
        <w:jc w:val="left"/>
      </w:pPr>
      <w:r>
        <w:rPr>
          <w:b/>
          <w:bCs/>
          <w:sz w:val="28"/>
          <w:szCs w:val="28"/>
        </w:rPr>
        <w:t xml:space="preserve">on the conduct of bioequivalence studies of the medicinal product</w:t>
      </w:r>
    </w:p>
    <w:p>
      <w:pPr>
        <w:pStyle w:val="Heading1"/>
        <w:spacing w:after="200"/>
        <w:jc w:val="left"/>
      </w:pPr>
      <w:r>
        <w:rPr>
          <w:b/>
          <w:bCs/>
          <w:sz w:val="28"/>
          <w:szCs w:val="28"/>
        </w:rPr>
        <w:t xml:space="preserve">LANSASOL, capsules containing 30 mg of lansoprazole, manufactured by</w:t>
      </w:r>
    </w:p>
    <w:p>
      <w:pPr>
        <w:pStyle w:val="Heading1"/>
        <w:spacing w:after="200"/>
        <w:jc w:val="left"/>
      </w:pPr>
      <w:r>
        <w:rPr>
          <w:b/>
          <w:bCs/>
          <w:sz w:val="28"/>
          <w:szCs w:val="28"/>
        </w:rPr>
        <w:t xml:space="preserve">OAO «BORISOVSKY PLANT OF MEDICAL PREPARATIONS» (Republic of Belarus)</w:t>
      </w:r>
    </w:p>
    <w:p>
      <w:pPr>
        <w:pStyle w:val="Heading1"/>
        <w:spacing w:after="200"/>
        <w:jc w:val="left"/>
      </w:pPr>
      <w:r>
        <w:rPr>
          <w:b/>
          <w:bCs/>
          <w:sz w:val="28"/>
          <w:szCs w:val="28"/>
        </w:rPr>
        <w:t xml:space="preserve">in comparison with the product LANZOPTOL, capsules containing 30 mg of lansoprazole,</w:t>
      </w:r>
    </w:p>
    <w:p>
      <w:pPr>
        <w:pStyle w:val="Heading1"/>
        <w:spacing w:after="200"/>
        <w:jc w:val="left"/>
      </w:pPr>
      <w:r>
        <w:rPr>
          <w:b/>
          <w:bCs/>
          <w:sz w:val="28"/>
          <w:szCs w:val="28"/>
        </w:rPr>
        <w:t xml:space="preserve">manufactured by KRKA, d.d. (SLOVENIA).</w:t>
      </w:r>
    </w:p>
    <w:p>
      <w:pPr>
        <w:pStyle w:val="Heading2"/>
        <w:spacing w:after="200"/>
        <w:jc w:val="left"/>
      </w:pPr>
      <w:r>
        <w:rPr>
          <w:b/>
          <w:bCs/>
          <w:sz w:val="24"/>
          <w:szCs w:val="24"/>
        </w:rPr>
        <w:t xml:space="preserve">Minsk, 2009</w:t>
      </w:r>
    </w:p>
    <w:p>
      <w:pPr>
        <w:spacing w:after="120"/>
      </w:pPr>
      <w:r>
        <w:t xml:space="preserve"/>
      </w:r>
      <w:r>
        <w:rPr>
          <w:b/>
          <w:bCs/>
        </w:rPr>
        <w:t xml:space="preserve">Study Director</w:t>
      </w:r>
      <w:r>
        <w:t xml:space="preserve"> _______________ </w:t>
      </w:r>
      <w:r>
        <w:rPr>
          <w:b/>
          <w:bCs/>
        </w:rPr>
        <w:t xml:space="preserve">E.A. Dotsenko</w:t>
      </w:r>
      <w:r>
        <w:t xml:space="preserve"> </w:t>
      </w:r>
      <w:r>
        <w:rPr>
          <w:b/>
          <w:bCs/>
        </w:rPr>
        <w:t xml:space="preserve">page 1 of 20</w:t>
      </w:r>
      <w:r>
        <w:t xml:space="preserve"/>
      </w:r>
    </w:p>
    <w:p>
      <w:pPr>
        <w:spacing w:after="200" w:before="200"/>
      </w:pPr>
      <w:r>
        <w:t xml:space="preserve">________________________________________________________________________________</w:t>
      </w:r>
    </w:p>
    <w:p>
      <w:pPr>
        <w:spacing w:after="120"/>
      </w:pPr>
      <w:r>
        <w:t xml:space="preserve"/>
      </w:r>
      <w:r>
        <w:rPr>
          <w:b/>
          <w:bCs/>
        </w:rPr>
        <w:t xml:space="preserve">«APPROVED»</w:t>
      </w:r>
      <w:r>
        <w:t xml:space="preserve"/>
      </w:r>
    </w:p>
    <w:p>
      <w:pPr>
        <w:spacing w:after="120"/>
      </w:pPr>
      <w:r>
        <w:t xml:space="preserve">Chief Physician of the City Clinical Hospital No. 6</w:t>
      </w:r>
    </w:p>
    <w:p>
      <w:pPr>
        <w:spacing w:after="120"/>
      </w:pPr>
      <w:r>
        <w:t xml:space="preserve">_______________ </w:t>
      </w:r>
      <w:r>
        <w:rPr>
          <w:b/>
          <w:bCs/>
        </w:rPr>
        <w:t xml:space="preserve">V.N. Gurko</w:t>
      </w:r>
      <w:r>
        <w:t xml:space="preserve"/>
      </w:r>
    </w:p>
    <w:p>
      <w:pPr>
        <w:spacing w:after="120"/>
      </w:pPr>
      <w:r>
        <w:t xml:space="preserve"/>
      </w:r>
      <w:r>
        <w:rPr>
          <w:b/>
          <w:bCs/>
        </w:rPr>
        <w:t xml:space="preserve">«January» 2009.</w:t>
      </w:r>
      <w:r>
        <w:t xml:space="preserve"/>
      </w:r>
    </w:p>
    <w:p>
      <w:pPr>
        <w:spacing w:after="120"/>
      </w:pPr>
      <w:r>
        <w:t xml:space="preserve"/>
      </w:r>
      <w:r>
        <w:rPr>
          <w:b/>
          <w:bCs/>
        </w:rPr>
        <w:t xml:space="preserve">«CONCURRED»</w:t>
      </w:r>
      <w:r>
        <w:t xml:space="preserve"/>
      </w:r>
    </w:p>
    <w:p>
      <w:pPr>
        <w:spacing w:after="120"/>
      </w:pPr>
      <w:r>
        <w:t xml:space="preserve">Deputy Director of UE «Center for Expertise and Testing in Healthcare»</w:t>
      </w:r>
    </w:p>
    <w:p>
      <w:pPr>
        <w:spacing w:after="120"/>
      </w:pPr>
      <w:r>
        <w:t xml:space="preserve">_______________ </w:t>
      </w:r>
      <w:r>
        <w:rPr>
          <w:b/>
          <w:bCs/>
        </w:rPr>
        <w:t xml:space="preserve">A.A. Sheryakov</w:t>
      </w:r>
      <w:r>
        <w:t xml:space="preserve"/>
      </w:r>
    </w:p>
    <w:p>
      <w:pPr>
        <w:spacing w:after="120"/>
      </w:pPr>
      <w:r>
        <w:t xml:space="preserve"/>
      </w:r>
      <w:r>
        <w:rPr>
          <w:b/>
          <w:bCs/>
        </w:rPr>
        <w:t xml:space="preserve">«January» 2009.</w:t>
      </w:r>
      <w:r>
        <w:t xml:space="preserve"/>
      </w:r>
    </w:p>
    <w:p>
      <w:pPr>
        <w:spacing w:after="120"/>
      </w:pPr>
      <w:r>
        <w:t xml:space="preserve"/>
      </w:r>
      <w:r>
        <w:rPr>
          <w:b/>
          <w:bCs/>
        </w:rPr>
        <w:t xml:space="preserve">«CONCURRED»</w:t>
      </w:r>
      <w:r>
        <w:t xml:space="preserve"/>
      </w:r>
    </w:p>
    <w:p>
      <w:pPr>
        <w:spacing w:after="120"/>
      </w:pPr>
      <w:r>
        <w:t xml:space="preserve">Deputy Head of the Republican Clinical and Pharmacological Laboratory</w:t>
      </w:r>
    </w:p>
    <w:p>
      <w:pPr>
        <w:spacing w:after="120"/>
      </w:pPr>
      <w:r>
        <w:t xml:space="preserve">_______________ </w:t>
      </w:r>
      <w:r>
        <w:rPr>
          <w:b/>
          <w:bCs/>
        </w:rPr>
        <w:t xml:space="preserve">I.N. Efremova</w:t>
      </w:r>
      <w:r>
        <w:t xml:space="preserve"/>
      </w:r>
    </w:p>
    <w:p>
      <w:pPr>
        <w:spacing w:after="120"/>
      </w:pPr>
      <w:r>
        <w:t xml:space="preserve"/>
      </w:r>
      <w:r>
        <w:rPr>
          <w:b/>
          <w:bCs/>
        </w:rPr>
        <w:t xml:space="preserve">«January» 2009.</w:t>
      </w:r>
      <w:r>
        <w:t xml:space="preserve"/>
      </w:r>
    </w:p>
    <w:p>
      <w:pPr>
        <w:spacing w:after="200" w:before="200"/>
      </w:pPr>
      <w:r>
        <w:t xml:space="preserve">________________________________________________________________________________</w:t>
      </w:r>
    </w:p>
    <w:p>
      <w:pPr>
        <w:pStyle w:val="Heading1"/>
        <w:spacing w:after="200"/>
        <w:jc w:val="left"/>
      </w:pPr>
      <w:r>
        <w:rPr>
          <w:b/>
          <w:bCs/>
          <w:sz w:val="28"/>
          <w:szCs w:val="28"/>
        </w:rPr>
        <w:t xml:space="preserve">I. INTRODUCTION.</w:t>
      </w:r>
    </w:p>
    <w:p>
      <w:pPr>
        <w:spacing w:after="120"/>
      </w:pPr>
      <w:r>
        <w:t xml:space="preserve">In accordance with the directive of the Ministry of Health of the Republic of Belarus (letters No. 01-03-09/3220 dated April 15, 2008 and No. 01-03-09/6397 dated 30.07.2008) at the base of the City Clinical Hospital No. 6 of Minsk (CCH-6), bioequivalence studies of the medicinal product LANSASOL, capsules containing 20 mg of lansoprazole, manufactured by OAO «BORISOVSKY PLANT OF MEDICAL PREPARATIONS» (Republic of Belarus) were conducted. The reference product was LANZOPTOL, capsules containing 30 mg of lansoprazole, manufactured by KRKA, d.d. (SLOVENIA).</w:t>
      </w:r>
    </w:p>
    <w:p>
      <w:pPr>
        <w:spacing w:after="120"/>
      </w:pPr>
      <w:r>
        <w:t xml:space="preserve">The studies were conducted according to the LPZ-2008 program, developed at the Republican Clinical and Pharmacological Laboratory of UE «CEI» and approved by the Ministry of Health of the Republic of Belarus (attached to the report), as well as with the consent and approval of the ethics committee of CCH-6 (conclusion attached).</w:t>
      </w:r>
    </w:p>
    <w:p>
      <w:pPr>
        <w:spacing w:after="120"/>
      </w:pPr>
      <w:r>
        <w:t xml:space="preserve">The clinical phase of the trials was conducted at the City Clinical Hospital No. 6 of Minsk, the analytical phase of the trials, the biological-statistical phase of the trials and preparation of the final report were carried out at the Republican Clinical and Pharmacological Laboratory of UE «Center for Expertise and Testing in Healthcare» on a contractual basis between the City Clinical Hospital No. 6, OAO «Borisovsky Plant of Medical Preparations» and the specified departments.</w:t>
      </w:r>
    </w:p>
    <w:p>
      <w:pPr>
        <w:pStyle w:val="Heading1"/>
        <w:spacing w:after="200"/>
        <w:jc w:val="left"/>
      </w:pPr>
      <w:r>
        <w:rPr>
          <w:b/>
          <w:bCs/>
          <w:sz w:val="28"/>
          <w:szCs w:val="28"/>
        </w:rPr>
        <w:t xml:space="preserve">II. BRIEF CLINICAL AND PHARMACOLOGICAL CHARACTERISTICS OF THE PRODUCT.</w:t>
      </w:r>
    </w:p>
    <w:p>
      <w:pPr>
        <w:pStyle w:val="Heading2"/>
        <w:spacing w:after="200"/>
        <w:jc w:val="left"/>
      </w:pPr>
      <w:r>
        <w:rPr>
          <w:b/>
          <w:bCs/>
          <w:sz w:val="24"/>
          <w:szCs w:val="24"/>
        </w:rPr>
        <w:t xml:space="preserve">1) TESTED PRODUCT.</w:t>
      </w:r>
    </w:p>
    <w:p>
      <w:pPr>
        <w:spacing w:after="120"/>
      </w:pPr>
      <w:r>
        <w:t xml:space="preserve"/>
      </w:r>
      <w:r>
        <w:rPr>
          <w:b/>
          <w:bCs/>
        </w:rPr>
        <w:t xml:space="preserve">LANSOPRAZOLE</w:t>
      </w:r>
      <w:r>
        <w:t xml:space="preserve"> – in chemical terms is 2-[[3-Methyl-4-(2,2,2-trifluoroethoxy)-2-pyridinyl]methyl]sulfinyl]benzimidazole.</w:t>
      </w:r>
    </w:p>
    <w:p>
      <w:pPr>
        <w:spacing w:after="120"/>
      </w:pPr>
      <w:r>
        <w:t xml:space="preserve"/>
      </w:r>
      <w:r>
        <w:rPr>
          <w:b/>
          <w:bCs/>
        </w:rPr>
        <w:t xml:space="preserve">Pharmacological action.</w:t>
      </w:r>
      <w:r>
        <w:t xml:space="preserve"> Pharmacological action – antiulcer. Blocks the final stage of hydrochloric acid formation. In the canaliculi of parietal cells of the stomach, it is transformed into the active form — sulfonamide, irreversibly interacting with SH-groups of H⁺-K⁺-ATPase (proton pump). Reduces basal and stimulated (food, pentagastrin, insulin) secretion and volume of secretion. The rate and degree of inhibition of hydrochloric acid secretion are dose-dependent: after taking 15 and 30 mg, pH begins to increase after 1-2 and 2-3 hours, respectively, and secretion is reduced to 80-97%, respectively. Restoration of H⁺-K⁺-ATPase activity occurs with a half-life of 30-48 hours. The average 24-hour value of gastric juice pH increases to 2.9 (the percentage of time with pH &gt; 3 is 47.6%). After discontinuation, the acid level remains below 50% of the basal level for 39 hours, no rebound increase in secretion is noted. In patients with Zollinger-Ellison syndrome, it acts more prolongedly. Suppresses pepsin production (increases pepsinogen levels in blood serum). Has gastroprotective action: increases mucosal oxygenation, increases bicarbonate secretion. Suppresses growth of Helicobacter pylori (MIC is 0.78-6.25 mg/l), promotes formation of specific IgA to these bacteria in the mucous membrane, increases anti-helicobacter activity of other products. Reduces blood flow in the antral part of the stomach, pyloric region and duodenal bulb by an average of 17%, inhibits motor-evacuator function of the stomach. Suppression of secretion is accompanied by an increase in the number of nitrosobacteria and increased concentration of nitrates in gastric secretion. Increases gastrin concentration in blood serum by 50-100% (gastrin level reaches a plateau after 2 months of treatment and returns to baseline values after completion of the course of treatment). Provides faster healing and relief of symptoms in duodenal ulcer (85% of duodenal ulcers heal after 4 weeks of treatment at a dose of 30 mg/day). Effective in the treatment of gastric and duodenal ulcer, resistant to H₂-blockers. The relapse rate after treatment is 55-62%. In reflux esophagitis, complete healing by the end of 8 weeks of intake (30 mg/day) is observed in 88.7%.</w:t>
      </w:r>
    </w:p>
    <w:p>
      <w:pPr>
        <w:spacing w:after="120"/>
      </w:pPr>
      <w:r>
        <w:t xml:space="preserve">Causes hyperplasia of enterochromaffin-like (ECL) cells, increases the frequency of metaplasia of the gastric mucosal epithelium and adenoma formation in the interstitial tissue of the testes when high doses of lansoprazole are administered to experimental animals.</w:t>
      </w:r>
    </w:p>
    <w:p>
      <w:pPr>
        <w:spacing w:after="120"/>
      </w:pPr>
      <w:r>
        <w:t xml:space="preserve"/>
      </w:r>
      <w:r>
        <w:rPr>
          <w:b/>
          <w:bCs/>
        </w:rPr>
        <w:t xml:space="preserve">Pharmacokinetics.</w:t>
      </w:r>
      <w:r>
        <w:t xml:space="preserve"> After oral administration, it is rapidly absorbed from the GI tract. Food intake reduces absorption and bioavailability (reduction of AUC by 50-70% when lansoprazole is taken 30 minutes after eating), but the inhibitory effect on gastric secretion remains the same, regardless of food intake. No significant effect of food on absorption of the medicinal product is noted when taken before meals. After oral administration at a dose of 30 mg, Cmax in blood plasma is achieved after 1.5-2.2 hours and amounts to 0.75-1.15 mg/l. Cmax and AUC are approximately proportional after a single dose in the range from 15 mg to 60 mg. Does not accumulate after multiple dosing. Bioavailability of lansoprazole is above 80%. In healthy individuals, the half-life in plasma is 1.5 ± 1.0 hours.</w:t>
      </w:r>
    </w:p>
    <w:p>
      <w:pPr>
        <w:spacing w:after="120"/>
      </w:pPr>
      <w:r>
        <w:t xml:space="preserve">Binding to plasma proteins is stable in the concentration range of lansoprazole 0.05-5.0 μg/ml and is 97.7-99.4%. Actively metabolized during "first pass" through the liver. Two metabolites, practically devoid of antisecretory activity, are identified in measurable plasma concentrations. Under the action of CYP2C19, lansoprazole is converted to 5-hydroxylansoprazole, and under the action of CYP3A4 – to the sulfone derivative of lansoprazole. Due to the possibility of mutation of the gene encoding CYP2C19, three groups of people with different metabolism of lansoprazole are distinguished: homozygotes with extensive metabolism, heterozygotes with an intermediate variant of metabolism, and homozygotes with low metabolic rate. In persons with low metabolic rate of lansoprazole, the half-life, clearance, and AUC may differ significantly. Metabolites are excreted mainly with bile, approximately 15 to 30% – with urine. Approximately 1-6% of Europeans are characterized as homozygotes with low metabolic rate for the gene encoding CYP2C19.</w:t>
      </w:r>
    </w:p>
    <w:p>
      <w:pPr>
        <w:spacing w:after="120"/>
      </w:pPr>
      <w:r>
        <w:t xml:space="preserve">The main metabolism of the product occurs in the parietal cells of the stomach to inactive sulfonamide derivatives (tetracyclic sulfenamide), which inactivate the sulfhydryl groups of H⁺-K⁺-ATPase and are not detected in blood plasma.</w:t>
      </w:r>
    </w:p>
    <w:p>
      <w:pPr>
        <w:spacing w:after="120"/>
      </w:pPr>
      <w:r>
        <w:t xml:space="preserve">T₁/₂ is 1.3-1.7 hours. Excreted by the kidneys as metabolites (14-23%) and through the intestines. In hepatic insufficiency, T₁/₂ may vary from 1.5 to 3.2-7.2 hours, and AUC may increase up to 500%, which requires dose adjustment. In elderly patients, excretion is delayed: T₁/₂ ranges from 1.9 to 2.9 hours, which, however, does not require dose adjustment of lansoprazole. Pharmacokinetics of lansoprazole in children aged 1 to 17 years was similar to that in healthy adults. There are no gender differences in the pharmacokinetics of lansoprazole.</w:t>
      </w:r>
    </w:p>
    <w:p>
      <w:pPr>
        <w:spacing w:after="120"/>
      </w:pPr>
      <w:r>
        <w:t xml:space="preserve">Pharmacokinetics of lansoprazole is linear in the dose range from 15 to 60 mg.</w:t>
      </w:r>
    </w:p>
    <w:p>
      <w:pPr>
        <w:spacing w:after="120"/>
      </w:pPr>
      <w:r>
        <w:t xml:space="preserve"/>
      </w:r>
      <w:r>
        <w:rPr>
          <w:b/>
          <w:bCs/>
        </w:rPr>
        <w:t xml:space="preserve">Uses and dosage regimen.</w:t>
      </w:r>
      <w:r>
        <w:t xml:space="preserve"/>
      </w:r>
    </w:p>
    <w:p>
      <w:pPr>
        <w:spacing w:after="120"/>
      </w:pPr>
      <w:r>
        <w:t xml:space="preserve">Dyspepsia, gastric and duodenal ulcer, benign gastric ulcer, erosive-ulcerative esophagitis, reflux esophagitis, Zollinger-Ellison syndrome, Helicobacter pylori infection (combination therapy).</w:t>
      </w:r>
    </w:p>
    <w:p>
      <w:pPr>
        <w:spacing w:after="120"/>
      </w:pPr>
      <w:r>
        <w:t xml:space="preserve">Take orally in the morning. Dyspepsia: 15-30 mg/day for 2-4 weeks. Duodenal ulcer: 30 mg/day for 2-4 weeks. Gastric ulcer: 30-60 mg/day for 4-8 weeks. Erosive-ulcerative esophagitis: 30-60 mg/day for 4-8 weeks. Reflux esophagitis: 30 mg/day — 4 weeks. Zollinger-Ellison syndrome: in an individually selected dose that provides a basal acid output level below 10 mmol/h. Helicobacter pylori infection: 30 mg 2 times a day as part of various schemes of combination anti-helicobacter therapy.</w:t>
      </w:r>
    </w:p>
    <w:p>
      <w:pPr>
        <w:spacing w:after="120"/>
      </w:pPr>
      <w:r>
        <w:t xml:space="preserve"/>
      </w:r>
      <w:r>
        <w:rPr>
          <w:b/>
          <w:bCs/>
        </w:rPr>
        <w:t xml:space="preserve">Adverse effects.</w:t>
      </w:r>
      <w:r>
        <w:t xml:space="preserve"/>
      </w:r>
    </w:p>
    <w:p>
      <w:pPr>
        <w:spacing w:after="120"/>
      </w:pPr>
      <w:r>
        <w:t xml:space="preserve">From the GI organs: diarrhea; less often – increased or decreased appetite, nausea, abdominal pain; rarely – constipation; in individual cases – nonspecific ulcerative colitis, GI candidiasis, increased activity of liver enzymes (ALT, AST, ALP, gamma-glutamyltransferase, lactate dehydrogenase) and bilirubin.</w:t>
      </w:r>
    </w:p>
    <w:p>
      <w:pPr>
        <w:spacing w:after="120"/>
      </w:pPr>
      <w:r>
        <w:t xml:space="preserve">From the nervous system and sensory organs: headache; rarely – feeling of malaise, dizziness, drowsiness, depression, anxiety.</w:t>
      </w:r>
    </w:p>
    <w:p>
      <w:pPr>
        <w:spacing w:after="120"/>
      </w:pPr>
      <w:r>
        <w:t xml:space="preserve">From the respiratory system: rarely – severe cough, pharyngitis, rhinitis, inflammation or infection of the upper respiratory tract.</w:t>
      </w:r>
    </w:p>
    <w:p>
      <w:pPr>
        <w:spacing w:after="120"/>
      </w:pPr>
      <w:r>
        <w:t xml:space="preserve">From the cardiovascular system and blood: rarely – thrombocytopenia (with hemorrhagic manifestations); in individual cases – anemia.</w:t>
      </w:r>
    </w:p>
    <w:p>
      <w:pPr>
        <w:spacing w:after="120"/>
      </w:pPr>
      <w:r>
        <w:t xml:space="preserve">From the skin: in individual cases – photosensitivity, erythema multiforme, alopecia.</w:t>
      </w:r>
    </w:p>
    <w:p>
      <w:pPr>
        <w:spacing w:after="120"/>
      </w:pPr>
      <w:r>
        <w:t xml:space="preserve">Allergic reactions: skin rash.</w:t>
      </w:r>
    </w:p>
    <w:p>
      <w:pPr>
        <w:spacing w:after="120"/>
      </w:pPr>
      <w:r>
        <w:t xml:space="preserve">Other: rarely – flu-like syndrome, myalgia.</w:t>
      </w:r>
    </w:p>
    <w:p>
      <w:pPr>
        <w:spacing w:after="120"/>
      </w:pPr>
      <w:r>
        <w:t xml:space="preserve"/>
      </w:r>
      <w:r>
        <w:rPr>
          <w:b/>
          <w:bCs/>
        </w:rPr>
        <w:t xml:space="preserve">Contraindications:</w:t>
      </w:r>
      <w:r>
        <w:t xml:space="preserve"/>
      </w:r>
    </w:p>
    <w:p>
      <w:pPr>
        <w:spacing w:after="120"/>
      </w:pPr>
      <w:r>
        <w:t xml:space="preserve">Hypersensitivity, malignant neoplasms of the GI tract, pregnancy (especially I trimester), breastfeeding.</w:t>
      </w:r>
    </w:p>
    <w:p>
      <w:pPr>
        <w:spacing w:after="120"/>
      </w:pPr>
      <w:r>
        <w:t xml:space="preserve">Use with caution in liver diseases (in history), chronic alcoholism, organ transplantation, concomitant immunosuppressive therapy, chronic renal failure, during urgent surgical manipulations (including dental), when taking gemfibrozil and other fibrates, nicotinamide (more than 1 g/day) due to the risk of myopathy development.</w:t>
      </w:r>
    </w:p>
    <w:p>
      <w:pPr>
        <w:spacing w:after="120"/>
      </w:pPr>
      <w:r>
        <w:t xml:space="preserve"/>
      </w:r>
      <w:r>
        <w:rPr>
          <w:b/>
          <w:bCs/>
        </w:rPr>
        <w:t xml:space="preserve">Drug interactions</w:t>
      </w:r>
      <w:r>
        <w:t xml:space="preserve"/>
      </w:r>
    </w:p>
    <w:p>
      <w:pPr>
        <w:spacing w:after="120"/>
      </w:pPr>
      <w:r>
        <w:t xml:space="preserve">Reduces (by 10%) the clearance of theophylline. Sucralfate reduces bioavailability by 30% (an interval of 30-40 minutes between taking these products is necessary). Antacids containing aluminum hydroxide and magnesium hydroxide, when taken simultaneously with lansoprazole, may reduce absorption of the latter. May change pH-dependent absorption of medicinal products belonging to weak acids (slowing) and bases (accelerating). Inhibits absorption of ampicillin, digoxin, ketoconazole, cyanocobalamin, iron salts. Interaction with products metabolized by the cytochrome P450 enzyme system is possible. Compatible with antipyrine, diazepam, ibuprofen, indomethacin, oral contraceptives, phenytoin, prednisolone, propranolol, warfarin.</w:t>
      </w:r>
    </w:p>
    <w:p>
      <w:pPr>
        <w:spacing w:after="200" w:before="200"/>
      </w:pPr>
      <w:r>
        <w:t xml:space="preserve">________________________________________________________________________________</w:t>
      </w:r>
    </w:p>
    <w:p>
      <w:pPr>
        <w:pStyle w:val="Heading1"/>
        <w:spacing w:after="200"/>
        <w:jc w:val="left"/>
      </w:pPr>
      <w:r>
        <w:rPr>
          <w:b/>
          <w:bCs/>
          <w:sz w:val="28"/>
          <w:szCs w:val="28"/>
        </w:rPr>
        <w:t xml:space="preserve">INFORMATION ON TESTED MEDICINAL PRODUCTS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sz="1"/>
              <w:left w:val="single" w:sz="1"/>
              <w:bottom w:val="single" w:sz="1"/>
              <w:right w:val="single" w:sz="1"/>
            </w:tcBorders>
          </w:tcPr>
          <w:p>
            <w:r>
              <w:rPr>
                <w:b/>
                <w:bCs/>
                <w:sz w:val="20"/>
                <w:szCs w:val="20"/>
              </w:rPr>
              <w:t xml:space="preserve">**Tested product**</w:t>
            </w:r>
          </w:p>
        </w:tc>
        <w:tc>
          <w:tcPr>
            <w:tcW w:type="pct" w:w="33%"/>
            <w:tcBorders>
              <w:top w:val="single" w:sz="1"/>
              <w:left w:val="single" w:sz="1"/>
              <w:bottom w:val="single" w:sz="1"/>
              <w:right w:val="single" w:sz="1"/>
            </w:tcBorders>
          </w:tcPr>
          <w:p>
            <w:r>
              <w:rPr>
                <w:b/>
                <w:bCs/>
                <w:sz w:val="20"/>
                <w:szCs w:val="20"/>
              </w:rPr>
              <w:t xml:space="preserve">Name</w:t>
            </w:r>
          </w:p>
        </w:tc>
        <w:tc>
          <w:tcPr>
            <w:tcW w:type="pct" w:w="33%"/>
            <w:tcBorders>
              <w:top w:val="single" w:sz="1"/>
              <w:left w:val="single" w:sz="1"/>
              <w:bottom w:val="single" w:sz="1"/>
              <w:right w:val="single" w:sz="1"/>
            </w:tcBorders>
          </w:tcPr>
          <w:p>
            <w:r>
              <w:rPr>
                <w:b/>
                <w:bCs/>
                <w:sz w:val="20"/>
                <w:szCs w:val="20"/>
              </w:rPr>
              <w:t xml:space="preserve">LANSASOL</w:t>
            </w:r>
          </w:p>
        </w:tc>
      </w:tr>
      <w:tr>
        <w:tc>
          <w:tcPr>
            <w:tcW w:type="pct" w:w="100%"/>
            <w:tcBorders>
              <w:top w:val="single" w:sz="1"/>
              <w:left w:val="single" w:sz="1"/>
              <w:bottom w:val="single" w:sz="1"/>
              <w:right w:val="single" w:sz="1"/>
            </w:tcBorders>
          </w:tcPr>
          <w:p>
            <w:r>
              <w:rPr>
                <w:b w:val="false"/>
                <w:bCs w:val="false"/>
                <w:sz w:val="20"/>
                <w:szCs w:val="20"/>
              </w:rPr>
              <w:t xml:space="preserve">(capsules containing 30 mg lansoprazole)</w:t>
            </w:r>
          </w:p>
        </w:tc>
      </w:tr>
      <w:tr>
        <w:tc>
          <w:tcPr>
            <w:tcW w:type="pct" w:w="50%"/>
            <w:tcBorders>
              <w:top w:val="single" w:sz="1"/>
              <w:left w:val="single" w:sz="1"/>
              <w:bottom w:val="single" w:sz="1"/>
              <w:right w:val="single" w:sz="1"/>
            </w:tcBorders>
          </w:tcPr>
          <w:p>
            <w:r>
              <w:rPr>
                <w:b w:val="false"/>
                <w:bCs w:val="false"/>
                <w:sz w:val="20"/>
                <w:szCs w:val="20"/>
              </w:rPr>
              <w:t xml:space="preserve">Manufacturer</w:t>
            </w:r>
          </w:p>
        </w:tc>
        <w:tc>
          <w:tcPr>
            <w:tcW w:type="pct" w:w="50%"/>
            <w:tcBorders>
              <w:top w:val="single" w:sz="1"/>
              <w:left w:val="single" w:sz="1"/>
              <w:bottom w:val="single" w:sz="1"/>
              <w:right w:val="single" w:sz="1"/>
            </w:tcBorders>
          </w:tcPr>
          <w:p>
            <w:r>
              <w:rPr>
                <w:b w:val="false"/>
                <w:bCs w:val="false"/>
                <w:sz w:val="20"/>
                <w:szCs w:val="20"/>
              </w:rPr>
              <w:t xml:space="preserve">OAO «Borisovsky Plant of Medical Preparations» (REPUBLIC OF BELARUS)</w:t>
            </w:r>
          </w:p>
        </w:tc>
      </w:tr>
      <w:tr>
        <w:tc>
          <w:tcPr>
            <w:tcW w:type="pct" w:w="50%"/>
            <w:tcBorders>
              <w:top w:val="single" w:sz="1"/>
              <w:left w:val="single" w:sz="1"/>
              <w:bottom w:val="single" w:sz="1"/>
              <w:right w:val="single" w:sz="1"/>
            </w:tcBorders>
          </w:tcPr>
          <w:p>
            <w:r>
              <w:rPr>
                <w:b w:val="false"/>
                <w:bCs w:val="false"/>
                <w:sz w:val="20"/>
                <w:szCs w:val="20"/>
              </w:rPr>
              <w:t xml:space="preserve">Lot number</w:t>
            </w:r>
          </w:p>
        </w:tc>
        <w:tc>
          <w:tcPr>
            <w:tcW w:type="pct" w:w="50%"/>
            <w:tcBorders>
              <w:top w:val="single" w:sz="1"/>
              <w:left w:val="single" w:sz="1"/>
              <w:bottom w:val="single" w:sz="1"/>
              <w:right w:val="single" w:sz="1"/>
            </w:tcBorders>
          </w:tcPr>
          <w:p>
            <w:r>
              <w:rPr>
                <w:b w:val="false"/>
                <w:bCs w:val="false"/>
                <w:sz w:val="20"/>
                <w:szCs w:val="20"/>
              </w:rPr>
              <w:t xml:space="preserve">010908</w:t>
            </w:r>
          </w:p>
        </w:tc>
      </w:tr>
      <w:tr>
        <w:tc>
          <w:tcPr>
            <w:tcW w:type="pct" w:w="50%"/>
            <w:tcBorders>
              <w:top w:val="single" w:sz="1"/>
              <w:left w:val="single" w:sz="1"/>
              <w:bottom w:val="single" w:sz="1"/>
              <w:right w:val="single" w:sz="1"/>
            </w:tcBorders>
          </w:tcPr>
          <w:p>
            <w:r>
              <w:rPr>
                <w:b w:val="false"/>
                <w:bCs w:val="false"/>
                <w:sz w:val="20"/>
                <w:szCs w:val="20"/>
              </w:rPr>
              <w:t xml:space="preserve">Manufacturing date</w:t>
            </w:r>
          </w:p>
        </w:tc>
        <w:tc>
          <w:tcPr>
            <w:tcW w:type="pct" w:w="50%"/>
            <w:tcBorders>
              <w:top w:val="single" w:sz="1"/>
              <w:left w:val="single" w:sz="1"/>
              <w:bottom w:val="single" w:sz="1"/>
              <w:right w:val="single" w:sz="1"/>
            </w:tcBorders>
          </w:tcPr>
          <w:p>
            <w:r>
              <w:rPr>
                <w:b w:val="false"/>
                <w:bCs w:val="false"/>
                <w:sz w:val="20"/>
                <w:szCs w:val="20"/>
              </w:rPr>
              <w:t xml:space="preserve">October 2007</w:t>
            </w:r>
          </w:p>
        </w:tc>
      </w:tr>
      <w:tr>
        <w:tc>
          <w:tcPr>
            <w:tcW w:type="pct" w:w="50%"/>
            <w:tcBorders>
              <w:top w:val="single" w:sz="1"/>
              <w:left w:val="single" w:sz="1"/>
              <w:bottom w:val="single" w:sz="1"/>
              <w:right w:val="single" w:sz="1"/>
            </w:tcBorders>
          </w:tcPr>
          <w:p>
            <w:r>
              <w:rPr>
                <w:b w:val="false"/>
                <w:bCs w:val="false"/>
                <w:sz w:val="20"/>
                <w:szCs w:val="20"/>
              </w:rPr>
              <w:t xml:space="preserve">Expiration date</w:t>
            </w:r>
          </w:p>
        </w:tc>
        <w:tc>
          <w:tcPr>
            <w:tcW w:type="pct" w:w="50%"/>
            <w:tcBorders>
              <w:top w:val="single" w:sz="1"/>
              <w:left w:val="single" w:sz="1"/>
              <w:bottom w:val="single" w:sz="1"/>
              <w:right w:val="single" w:sz="1"/>
            </w:tcBorders>
          </w:tcPr>
          <w:p>
            <w:r>
              <w:rPr>
                <w:b w:val="false"/>
                <w:bCs w:val="false"/>
                <w:sz w:val="20"/>
                <w:szCs w:val="20"/>
              </w:rPr>
              <w:t xml:space="preserve">October 2010</w:t>
            </w:r>
          </w:p>
        </w:tc>
      </w:tr>
      <w:tr>
        <w:tc>
          <w:tcPr>
            <w:tcW w:type="pct" w:w="50%"/>
            <w:tcBorders>
              <w:top w:val="single" w:sz="1"/>
              <w:left w:val="single" w:sz="1"/>
              <w:bottom w:val="single" w:sz="1"/>
              <w:right w:val="single" w:sz="1"/>
            </w:tcBorders>
          </w:tcPr>
          <w:p>
            <w:r>
              <w:rPr>
                <w:b w:val="false"/>
                <w:bCs w:val="false"/>
                <w:sz w:val="20"/>
                <w:szCs w:val="20"/>
              </w:rPr>
              <w:t xml:space="preserve">Active substance</w:t>
            </w:r>
          </w:p>
        </w:tc>
        <w:tc>
          <w:tcPr>
            <w:tcW w:type="pct" w:w="50%"/>
            <w:tcBorders>
              <w:top w:val="single" w:sz="1"/>
              <w:left w:val="single" w:sz="1"/>
              <w:bottom w:val="single" w:sz="1"/>
              <w:right w:val="single" w:sz="1"/>
            </w:tcBorders>
          </w:tcPr>
          <w:p>
            <w:r>
              <w:rPr>
                <w:b w:val="false"/>
                <w:bCs w:val="false"/>
                <w:sz w:val="20"/>
                <w:szCs w:val="20"/>
              </w:rPr>
              <w:t xml:space="preserve">WS LAN/06 USP (W.STD.)</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sz="1"/>
              <w:left w:val="single" w:sz="1"/>
              <w:bottom w:val="single" w:sz="1"/>
              <w:right w:val="single" w:sz="1"/>
            </w:tcBorders>
          </w:tcPr>
          <w:p>
            <w:r>
              <w:rPr>
                <w:b/>
                <w:bCs/>
                <w:sz w:val="20"/>
                <w:szCs w:val="20"/>
              </w:rPr>
              <w:t xml:space="preserve">**Reference product**</w:t>
            </w:r>
          </w:p>
        </w:tc>
        <w:tc>
          <w:tcPr>
            <w:tcW w:type="pct" w:w="33%"/>
            <w:tcBorders>
              <w:top w:val="single" w:sz="1"/>
              <w:left w:val="single" w:sz="1"/>
              <w:bottom w:val="single" w:sz="1"/>
              <w:right w:val="single" w:sz="1"/>
            </w:tcBorders>
          </w:tcPr>
          <w:p>
            <w:r>
              <w:rPr>
                <w:b/>
                <w:bCs/>
                <w:sz w:val="20"/>
                <w:szCs w:val="20"/>
              </w:rPr>
              <w:t xml:space="preserve">Name</w:t>
            </w:r>
          </w:p>
        </w:tc>
        <w:tc>
          <w:tcPr>
            <w:tcW w:type="pct" w:w="33%"/>
            <w:tcBorders>
              <w:top w:val="single" w:sz="1"/>
              <w:left w:val="single" w:sz="1"/>
              <w:bottom w:val="single" w:sz="1"/>
              <w:right w:val="single" w:sz="1"/>
            </w:tcBorders>
          </w:tcPr>
          <w:p>
            <w:r>
              <w:rPr>
                <w:b/>
                <w:bCs/>
                <w:sz w:val="20"/>
                <w:szCs w:val="20"/>
              </w:rPr>
              <w:t xml:space="preserve">LANZOPTOL</w:t>
            </w:r>
          </w:p>
        </w:tc>
      </w:tr>
      <w:tr>
        <w:tc>
          <w:tcPr>
            <w:tcW w:type="pct" w:w="100%"/>
            <w:tcBorders>
              <w:top w:val="single" w:sz="1"/>
              <w:left w:val="single" w:sz="1"/>
              <w:bottom w:val="single" w:sz="1"/>
              <w:right w:val="single" w:sz="1"/>
            </w:tcBorders>
          </w:tcPr>
          <w:p>
            <w:r>
              <w:rPr>
                <w:b w:val="false"/>
                <w:bCs w:val="false"/>
                <w:sz w:val="20"/>
                <w:szCs w:val="20"/>
              </w:rPr>
              <w:t xml:space="preserve">(capsules containing 30 mg lansoprazole)</w:t>
            </w:r>
          </w:p>
        </w:tc>
      </w:tr>
      <w:tr>
        <w:tc>
          <w:tcPr>
            <w:tcW w:type="pct" w:w="50%"/>
            <w:tcBorders>
              <w:top w:val="single" w:sz="1"/>
              <w:left w:val="single" w:sz="1"/>
              <w:bottom w:val="single" w:sz="1"/>
              <w:right w:val="single" w:sz="1"/>
            </w:tcBorders>
          </w:tcPr>
          <w:p>
            <w:r>
              <w:rPr>
                <w:b w:val="false"/>
                <w:bCs w:val="false"/>
                <w:sz w:val="20"/>
                <w:szCs w:val="20"/>
              </w:rPr>
              <w:t xml:space="preserve">Manufacturer</w:t>
            </w:r>
          </w:p>
        </w:tc>
        <w:tc>
          <w:tcPr>
            <w:tcW w:type="pct" w:w="50%"/>
            <w:tcBorders>
              <w:top w:val="single" w:sz="1"/>
              <w:left w:val="single" w:sz="1"/>
              <w:bottom w:val="single" w:sz="1"/>
              <w:right w:val="single" w:sz="1"/>
            </w:tcBorders>
          </w:tcPr>
          <w:p>
            <w:r>
              <w:rPr>
                <w:b w:val="false"/>
                <w:bCs w:val="false"/>
                <w:sz w:val="20"/>
                <w:szCs w:val="20"/>
              </w:rPr>
              <w:t xml:space="preserve">KRKA, d.d. (SLOVENIA)</w:t>
            </w:r>
          </w:p>
        </w:tc>
      </w:tr>
      <w:tr>
        <w:tc>
          <w:tcPr>
            <w:tcW w:type="pct" w:w="50%"/>
            <w:tcBorders>
              <w:top w:val="single" w:sz="1"/>
              <w:left w:val="single" w:sz="1"/>
              <w:bottom w:val="single" w:sz="1"/>
              <w:right w:val="single" w:sz="1"/>
            </w:tcBorders>
          </w:tcPr>
          <w:p>
            <w:r>
              <w:rPr>
                <w:b w:val="false"/>
                <w:bCs w:val="false"/>
                <w:sz w:val="20"/>
                <w:szCs w:val="20"/>
              </w:rPr>
              <w:t xml:space="preserve">Lot number</w:t>
            </w:r>
          </w:p>
        </w:tc>
        <w:tc>
          <w:tcPr>
            <w:tcW w:type="pct" w:w="50%"/>
            <w:tcBorders>
              <w:top w:val="single" w:sz="1"/>
              <w:left w:val="single" w:sz="1"/>
              <w:bottom w:val="single" w:sz="1"/>
              <w:right w:val="single" w:sz="1"/>
            </w:tcBorders>
          </w:tcPr>
          <w:p>
            <w:r>
              <w:rPr>
                <w:b w:val="false"/>
                <w:bCs w:val="false"/>
                <w:sz w:val="20"/>
                <w:szCs w:val="20"/>
              </w:rPr>
              <w:t xml:space="preserve">B49828</w:t>
            </w:r>
          </w:p>
        </w:tc>
      </w:tr>
      <w:tr>
        <w:tc>
          <w:tcPr>
            <w:tcW w:type="pct" w:w="50%"/>
            <w:tcBorders>
              <w:top w:val="single" w:sz="1"/>
              <w:left w:val="single" w:sz="1"/>
              <w:bottom w:val="single" w:sz="1"/>
              <w:right w:val="single" w:sz="1"/>
            </w:tcBorders>
          </w:tcPr>
          <w:p>
            <w:r>
              <w:rPr>
                <w:b w:val="false"/>
                <w:bCs w:val="false"/>
                <w:sz w:val="20"/>
                <w:szCs w:val="20"/>
              </w:rPr>
              <w:t xml:space="preserve">Manufacturing date</w:t>
            </w:r>
          </w:p>
        </w:tc>
        <w:tc>
          <w:tcPr>
            <w:tcW w:type="pct" w:w="50%"/>
            <w:tcBorders>
              <w:top w:val="single" w:sz="1"/>
              <w:left w:val="single" w:sz="1"/>
              <w:bottom w:val="single" w:sz="1"/>
              <w:right w:val="single" w:sz="1"/>
            </w:tcBorders>
          </w:tcPr>
          <w:p>
            <w:r>
              <w:rPr>
                <w:b w:val="false"/>
                <w:bCs w:val="false"/>
                <w:sz w:val="20"/>
                <w:szCs w:val="20"/>
              </w:rPr>
              <w:t xml:space="preserve">October 2007</w:t>
            </w:r>
          </w:p>
        </w:tc>
      </w:tr>
      <w:tr>
        <w:tc>
          <w:tcPr>
            <w:tcW w:type="pct" w:w="50%"/>
            <w:tcBorders>
              <w:top w:val="single" w:sz="1"/>
              <w:left w:val="single" w:sz="1"/>
              <w:bottom w:val="single" w:sz="1"/>
              <w:right w:val="single" w:sz="1"/>
            </w:tcBorders>
          </w:tcPr>
          <w:p>
            <w:r>
              <w:rPr>
                <w:b w:val="false"/>
                <w:bCs w:val="false"/>
                <w:sz w:val="20"/>
                <w:szCs w:val="20"/>
              </w:rPr>
              <w:t xml:space="preserve">Expiration date</w:t>
            </w:r>
          </w:p>
        </w:tc>
        <w:tc>
          <w:tcPr>
            <w:tcW w:type="pct" w:w="50%"/>
            <w:tcBorders>
              <w:top w:val="single" w:sz="1"/>
              <w:left w:val="single" w:sz="1"/>
              <w:bottom w:val="single" w:sz="1"/>
              <w:right w:val="single" w:sz="1"/>
            </w:tcBorders>
          </w:tcPr>
          <w:p>
            <w:r>
              <w:rPr>
                <w:b w:val="false"/>
                <w:bCs w:val="false"/>
                <w:sz w:val="20"/>
                <w:szCs w:val="20"/>
              </w:rPr>
              <w:t xml:space="preserve">October 2010</w:t>
            </w:r>
          </w:p>
        </w:tc>
      </w:tr>
    </w:tbl>
    <w:p>
      <w:pPr>
        <w:spacing w:after="200" w:before="200"/>
      </w:pPr>
      <w:r>
        <w:t xml:space="preserve">________________________________________________________________________________</w:t>
      </w:r>
    </w:p>
    <w:p>
      <w:pPr>
        <w:pStyle w:val="Heading1"/>
        <w:spacing w:after="200"/>
        <w:jc w:val="left"/>
      </w:pPr>
      <w:r>
        <w:rPr>
          <w:b/>
          <w:bCs/>
          <w:sz w:val="28"/>
          <w:szCs w:val="28"/>
        </w:rPr>
        <w:t xml:space="preserve">III. METHOD OF ADMINISTRATION AND DOSES OF PRODUCTS.</w:t>
      </w:r>
    </w:p>
    <w:p>
      <w:pPr>
        <w:spacing w:after="120"/>
      </w:pPr>
      <w:r>
        <w:t xml:space="preserve">The clinical phase of the studies was conducted at the City Clinical Hospital No. 6 of Minsk (CCH-6) with the participation of staff of this institution and the Department of Propedeutics of Internal Diseases of BSU. The tested product and the reference product were administered orally in a double crossover design.</w:t>
      </w:r>
    </w:p>
    <w:p>
      <w:pPr>
        <w:spacing w:after="120"/>
      </w:pPr>
      <w:r>
        <w:t xml:space="preserve">```</w:t>
      </w:r>
    </w:p>
    <w:p>
      <w:pPr>
        <w:spacing w:after="120"/>
      </w:pPr>
      <w:r>
        <w:t xml:space="preserve">Product A      Product B        Product A      Product B</w:t>
      </w:r>
    </w:p>
    <w:p>
      <w:pPr>
        <w:spacing w:after="120"/>
      </w:pPr>
      <w:r>
        <w:t xml:space="preserve">↓               ↓                ↓               ↓</w:t>
      </w:r>
    </w:p>
    <w:p>
      <w:pPr>
        <w:spacing w:after="120"/>
      </w:pPr>
      <w:r>
        <w:t xml:space="preserve">R ───→ Product B ──→ Product A ──→ Product B ──→ Product A</w:t>
      </w:r>
    </w:p>
    <w:p>
      <w:pPr>
        <w:spacing w:after="120"/>
      </w:pPr>
      <w:r>
        <w:t xml:space="preserve">(administration          (administration</w:t>
      </w:r>
    </w:p>
    <w:p>
      <w:pPr>
        <w:spacing w:after="120"/>
      </w:pPr>
      <w:r>
        <w:t xml:space="preserve">fasting)                 after meals)</w:t>
      </w:r>
    </w:p>
    <w:p>
      <w:pPr>
        <w:spacing w:after="120"/>
      </w:pPr>
      <w:r>
        <w:t xml:space="preserve">```</w:t>
      </w:r>
    </w:p>
    <w:p>
      <w:pPr>
        <w:spacing w:after="120"/>
      </w:pPr>
      <w:r>
        <w:t xml:space="preserve">Initially, volunteers took the studied medicinal products fasting (4 hours before breakfast) in a single dose of 60 mg of lansoprazole (2 capsules of each medicinal product), in accordance with requirements [2,8,10,18,20].</w:t>
      </w:r>
    </w:p>
    <w:p>
      <w:pPr>
        <w:spacing w:after="120"/>
      </w:pPr>
      <w:r>
        <w:t xml:space="preserve">Due to the proven effect of food on the pharmacokinetic parameters and bioavailability of lansoprazole (see section «Information on the tested product»), the tested product and the reference product were administered after completion of the first phase of the trial, again orally once in the morning 30 minutes after taking a standard hot breakfast in a single dose of 60 mg of lansoprazole (2 capsules of each medicinal product) in accordance with requirements [2,8,10,18,20].</w:t>
      </w:r>
    </w:p>
    <w:p>
      <w:pPr>
        <w:spacing w:after="120"/>
      </w:pPr>
      <w:r>
        <w:t xml:space="preserve">During the period between periods I and II (period of testing the tested product and/or reference product when administered fasting), as well as III and IV (period of testing the tested product and/or reference product when administered after meals), volunteers did not take any medicinal products without agreement with the investigator, observed dietary restrictions within Diet Table No. 15, and abstained from alcoholic and caffeinated beverages. A standard hot breakfast was served according to the portioning sheet of Diet Table No. 15 with increased fat content (additional introduction of butter 10.0 g). The calorie content of breakfast was 412.5 kcal.</w:t>
      </w:r>
    </w:p>
    <w:p>
      <w:pPr>
        <w:spacing w:after="120"/>
      </w:pPr>
      <w:r>
        <w:t xml:space="preserve">Dispensing of products to volunteers was carried out by a responsible employee.</w:t>
      </w:r>
    </w:p>
    <w:p>
      <w:pPr>
        <w:spacing w:after="120"/>
      </w:pPr>
      <w:r>
        <w:t xml:space="preserve">The dose was determined based on the requirements for the accuracy of analysis and validation of the analytical method in accordance with the requirements of «Guidance for Industry. Bioanalytical Method Validation», U.S. DHHS, FDA, CDER 2001 and «Reviewer Guidance. Validation of Chromatographic Methods», CDER, 1994.:</w:t>
      </w:r>
    </w:p>
    <w:p>
      <w:pPr>
        <w:spacing w:after="80"/>
        <w:ind w:left="720"/>
      </w:pPr>
      <w:r>
        <w:t xml:space="preserve">• Relative error of determination not more than 15%;</w:t>
      </w:r>
    </w:p>
    <w:p>
      <w:pPr>
        <w:spacing w:after="80"/>
        <w:ind w:left="720"/>
      </w:pPr>
      <w:r>
        <w:t xml:space="preserve">• Minimum limit of detection, signal-to-noise ratio ≥3.0;</w:t>
      </w:r>
    </w:p>
    <w:p>
      <w:pPr>
        <w:spacing w:after="80"/>
        <w:ind w:left="720"/>
      </w:pPr>
      <w:r>
        <w:t xml:space="preserve">• The need for confident monitoring of lansoprazole concentration for at least 4 elimination half-lives (4t₁/₂), i.e. 8 hours.</w:t>
      </w:r>
    </w:p>
    <w:p>
      <w:pPr>
        <w:pStyle w:val="Heading1"/>
        <w:spacing w:after="200"/>
        <w:jc w:val="left"/>
      </w:pPr>
      <w:r>
        <w:rPr>
          <w:b/>
          <w:bCs/>
          <w:sz w:val="28"/>
          <w:szCs w:val="28"/>
        </w:rPr>
        <w:t xml:space="preserve">IV. SAMPLING SCHEME.</w:t>
      </w:r>
    </w:p>
    <w:p>
      <w:pPr>
        <w:spacing w:after="120"/>
      </w:pPr>
      <w:r>
        <w:t xml:space="preserve">For the studied products, the sampling scheme was developed taking into account the specifics of lansoprazole pharmacokinetics and the optimally necessary number of points for constructing pharmacokinetic curves «concentration-time». The scheme is presented in Table 1.</w:t>
      </w:r>
    </w:p>
    <w:p>
      <w:pPr>
        <w:pStyle w:val="Heading2"/>
        <w:spacing w:after="200"/>
        <w:jc w:val="left"/>
      </w:pPr>
      <w:r>
        <w:rPr>
          <w:b/>
          <w:bCs/>
          <w:sz w:val="24"/>
          <w:szCs w:val="24"/>
        </w:rPr>
        <w:t xml:space="preserve">Table 1. Blood sampling intervals in volunteers.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tcPr>
          <w:p>
            <w:r>
              <w:rPr>
                <w:b/>
                <w:bCs/>
                <w:sz w:val="20"/>
                <w:szCs w:val="20"/>
              </w:rPr>
              <w:t xml:space="preserve">Sampling number</w:t>
            </w:r>
          </w:p>
        </w:tc>
        <w:tc>
          <w:tcPr>
            <w:tcW w:type="pct" w:w="50%"/>
            <w:tcBorders>
              <w:top w:val="single" w:sz="1"/>
              <w:left w:val="single" w:sz="1"/>
              <w:bottom w:val="single" w:sz="1"/>
              <w:right w:val="single" w:sz="1"/>
            </w:tcBorders>
          </w:tcPr>
          <w:p>
            <w:r>
              <w:rPr>
                <w:b/>
                <w:bCs/>
                <w:sz w:val="20"/>
                <w:szCs w:val="20"/>
              </w:rPr>
              <w:t xml:space="preserve">Time after administration</w:t>
            </w:r>
          </w:p>
        </w:tc>
      </w:tr>
      <w:tr>
        <w:tc>
          <w:tcPr>
            <w:tcW w:type="pct" w:w="50%"/>
            <w:tcBorders>
              <w:top w:val="single" w:sz="1"/>
              <w:left w:val="single" w:sz="1"/>
              <w:bottom w:val="single" w:sz="1"/>
              <w:right w:val="single" w:sz="1"/>
            </w:tcBorders>
          </w:tcPr>
          <w:p>
            <w:r>
              <w:rPr>
                <w:b w:val="false"/>
                <w:bCs w:val="false"/>
                <w:sz w:val="20"/>
                <w:szCs w:val="20"/>
              </w:rPr>
              <w:t xml:space="preserve">1</w:t>
            </w:r>
          </w:p>
        </w:tc>
        <w:tc>
          <w:tcPr>
            <w:tcW w:type="pct" w:w="50%"/>
            <w:tcBorders>
              <w:top w:val="single" w:sz="1"/>
              <w:left w:val="single" w:sz="1"/>
              <w:bottom w:val="single" w:sz="1"/>
              <w:right w:val="single" w:sz="1"/>
            </w:tcBorders>
          </w:tcPr>
          <w:p>
            <w:r>
              <w:rPr>
                <w:b w:val="false"/>
                <w:bCs w:val="false"/>
                <w:sz w:val="20"/>
                <w:szCs w:val="20"/>
              </w:rPr>
              <w:t xml:space="preserve">0.75 h</w:t>
            </w:r>
          </w:p>
        </w:tc>
      </w:tr>
      <w:tr>
        <w:tc>
          <w:tcPr>
            <w:tcW w:type="pct" w:w="50%"/>
            <w:tcBorders>
              <w:top w:val="single" w:sz="1"/>
              <w:left w:val="single" w:sz="1"/>
              <w:bottom w:val="single" w:sz="1"/>
              <w:right w:val="single" w:sz="1"/>
            </w:tcBorders>
          </w:tcPr>
          <w:p>
            <w:r>
              <w:rPr>
                <w:b w:val="false"/>
                <w:bCs w:val="false"/>
                <w:sz w:val="20"/>
                <w:szCs w:val="20"/>
              </w:rPr>
              <w:t xml:space="preserve">2</w:t>
            </w:r>
          </w:p>
        </w:tc>
        <w:tc>
          <w:tcPr>
            <w:tcW w:type="pct" w:w="50%"/>
            <w:tcBorders>
              <w:top w:val="single" w:sz="1"/>
              <w:left w:val="single" w:sz="1"/>
              <w:bottom w:val="single" w:sz="1"/>
              <w:right w:val="single" w:sz="1"/>
            </w:tcBorders>
          </w:tcPr>
          <w:p>
            <w:r>
              <w:rPr>
                <w:b w:val="false"/>
                <w:bCs w:val="false"/>
                <w:sz w:val="20"/>
                <w:szCs w:val="20"/>
              </w:rPr>
              <w:t xml:space="preserve">1.0 h</w:t>
            </w:r>
          </w:p>
        </w:tc>
      </w:tr>
      <w:tr>
        <w:tc>
          <w:tcPr>
            <w:tcW w:type="pct" w:w="50%"/>
            <w:tcBorders>
              <w:top w:val="single" w:sz="1"/>
              <w:left w:val="single" w:sz="1"/>
              <w:bottom w:val="single" w:sz="1"/>
              <w:right w:val="single" w:sz="1"/>
            </w:tcBorders>
          </w:tcPr>
          <w:p>
            <w:r>
              <w:rPr>
                <w:b w:val="false"/>
                <w:bCs w:val="false"/>
                <w:sz w:val="20"/>
                <w:szCs w:val="20"/>
              </w:rPr>
              <w:t xml:space="preserve">3</w:t>
            </w:r>
          </w:p>
        </w:tc>
        <w:tc>
          <w:tcPr>
            <w:tcW w:type="pct" w:w="50%"/>
            <w:tcBorders>
              <w:top w:val="single" w:sz="1"/>
              <w:left w:val="single" w:sz="1"/>
              <w:bottom w:val="single" w:sz="1"/>
              <w:right w:val="single" w:sz="1"/>
            </w:tcBorders>
          </w:tcPr>
          <w:p>
            <w:r>
              <w:rPr>
                <w:b w:val="false"/>
                <w:bCs w:val="false"/>
                <w:sz w:val="20"/>
                <w:szCs w:val="20"/>
              </w:rPr>
              <w:t xml:space="preserve">1.25 h</w:t>
            </w:r>
          </w:p>
        </w:tc>
      </w:tr>
      <w:tr>
        <w:tc>
          <w:tcPr>
            <w:tcW w:type="pct" w:w="50%"/>
            <w:tcBorders>
              <w:top w:val="single" w:sz="1"/>
              <w:left w:val="single" w:sz="1"/>
              <w:bottom w:val="single" w:sz="1"/>
              <w:right w:val="single" w:sz="1"/>
            </w:tcBorders>
          </w:tcPr>
          <w:p>
            <w:r>
              <w:rPr>
                <w:b w:val="false"/>
                <w:bCs w:val="false"/>
                <w:sz w:val="20"/>
                <w:szCs w:val="20"/>
              </w:rPr>
              <w:t xml:space="preserve">4</w:t>
            </w:r>
          </w:p>
        </w:tc>
        <w:tc>
          <w:tcPr>
            <w:tcW w:type="pct" w:w="50%"/>
            <w:tcBorders>
              <w:top w:val="single" w:sz="1"/>
              <w:left w:val="single" w:sz="1"/>
              <w:bottom w:val="single" w:sz="1"/>
              <w:right w:val="single" w:sz="1"/>
            </w:tcBorders>
          </w:tcPr>
          <w:p>
            <w:r>
              <w:rPr>
                <w:b w:val="false"/>
                <w:bCs w:val="false"/>
                <w:sz w:val="20"/>
                <w:szCs w:val="20"/>
              </w:rPr>
              <w:t xml:space="preserve">1.5 h</w:t>
            </w:r>
          </w:p>
        </w:tc>
      </w:tr>
      <w:tr>
        <w:tc>
          <w:tcPr>
            <w:tcW w:type="pct" w:w="50%"/>
            <w:tcBorders>
              <w:top w:val="single" w:sz="1"/>
              <w:left w:val="single" w:sz="1"/>
              <w:bottom w:val="single" w:sz="1"/>
              <w:right w:val="single" w:sz="1"/>
            </w:tcBorders>
          </w:tcPr>
          <w:p>
            <w:r>
              <w:rPr>
                <w:b w:val="false"/>
                <w:bCs w:val="false"/>
                <w:sz w:val="20"/>
                <w:szCs w:val="20"/>
              </w:rPr>
              <w:t xml:space="preserve">5</w:t>
            </w:r>
          </w:p>
        </w:tc>
        <w:tc>
          <w:tcPr>
            <w:tcW w:type="pct" w:w="50%"/>
            <w:tcBorders>
              <w:top w:val="single" w:sz="1"/>
              <w:left w:val="single" w:sz="1"/>
              <w:bottom w:val="single" w:sz="1"/>
              <w:right w:val="single" w:sz="1"/>
            </w:tcBorders>
          </w:tcPr>
          <w:p>
            <w:r>
              <w:rPr>
                <w:b w:val="false"/>
                <w:bCs w:val="false"/>
                <w:sz w:val="20"/>
                <w:szCs w:val="20"/>
              </w:rPr>
              <w:t xml:space="preserve">2.0 h</w:t>
            </w:r>
          </w:p>
        </w:tc>
      </w:tr>
      <w:tr>
        <w:tc>
          <w:tcPr>
            <w:tcW w:type="pct" w:w="50%"/>
            <w:tcBorders>
              <w:top w:val="single" w:sz="1"/>
              <w:left w:val="single" w:sz="1"/>
              <w:bottom w:val="single" w:sz="1"/>
              <w:right w:val="single" w:sz="1"/>
            </w:tcBorders>
          </w:tcPr>
          <w:p>
            <w:r>
              <w:rPr>
                <w:b w:val="false"/>
                <w:bCs w:val="false"/>
                <w:sz w:val="20"/>
                <w:szCs w:val="20"/>
              </w:rPr>
              <w:t xml:space="preserve">6</w:t>
            </w:r>
          </w:p>
        </w:tc>
        <w:tc>
          <w:tcPr>
            <w:tcW w:type="pct" w:w="50%"/>
            <w:tcBorders>
              <w:top w:val="single" w:sz="1"/>
              <w:left w:val="single" w:sz="1"/>
              <w:bottom w:val="single" w:sz="1"/>
              <w:right w:val="single" w:sz="1"/>
            </w:tcBorders>
          </w:tcPr>
          <w:p>
            <w:r>
              <w:rPr>
                <w:b w:val="false"/>
                <w:bCs w:val="false"/>
                <w:sz w:val="20"/>
                <w:szCs w:val="20"/>
              </w:rPr>
              <w:t xml:space="preserve">2.5 h</w:t>
            </w:r>
          </w:p>
        </w:tc>
      </w:tr>
      <w:tr>
        <w:tc>
          <w:tcPr>
            <w:tcW w:type="pct" w:w="50%"/>
            <w:tcBorders>
              <w:top w:val="single" w:sz="1"/>
              <w:left w:val="single" w:sz="1"/>
              <w:bottom w:val="single" w:sz="1"/>
              <w:right w:val="single" w:sz="1"/>
            </w:tcBorders>
          </w:tcPr>
          <w:p>
            <w:r>
              <w:rPr>
                <w:b w:val="false"/>
                <w:bCs w:val="false"/>
                <w:sz w:val="20"/>
                <w:szCs w:val="20"/>
              </w:rPr>
              <w:t xml:space="preserve">7</w:t>
            </w:r>
          </w:p>
        </w:tc>
        <w:tc>
          <w:tcPr>
            <w:tcW w:type="pct" w:w="50%"/>
            <w:tcBorders>
              <w:top w:val="single" w:sz="1"/>
              <w:left w:val="single" w:sz="1"/>
              <w:bottom w:val="single" w:sz="1"/>
              <w:right w:val="single" w:sz="1"/>
            </w:tcBorders>
          </w:tcPr>
          <w:p>
            <w:r>
              <w:rPr>
                <w:b w:val="false"/>
                <w:bCs w:val="false"/>
                <w:sz w:val="20"/>
                <w:szCs w:val="20"/>
              </w:rPr>
              <w:t xml:space="preserve">3 h</w:t>
            </w:r>
          </w:p>
        </w:tc>
      </w:tr>
      <w:tr>
        <w:tc>
          <w:tcPr>
            <w:tcW w:type="pct" w:w="50%"/>
            <w:tcBorders>
              <w:top w:val="single" w:sz="1"/>
              <w:left w:val="single" w:sz="1"/>
              <w:bottom w:val="single" w:sz="1"/>
              <w:right w:val="single" w:sz="1"/>
            </w:tcBorders>
          </w:tcPr>
          <w:p>
            <w:r>
              <w:rPr>
                <w:b w:val="false"/>
                <w:bCs w:val="false"/>
                <w:sz w:val="20"/>
                <w:szCs w:val="20"/>
              </w:rPr>
              <w:t xml:space="preserve">8</w:t>
            </w:r>
          </w:p>
        </w:tc>
        <w:tc>
          <w:tcPr>
            <w:tcW w:type="pct" w:w="50%"/>
            <w:tcBorders>
              <w:top w:val="single" w:sz="1"/>
              <w:left w:val="single" w:sz="1"/>
              <w:bottom w:val="single" w:sz="1"/>
              <w:right w:val="single" w:sz="1"/>
            </w:tcBorders>
          </w:tcPr>
          <w:p>
            <w:r>
              <w:rPr>
                <w:b w:val="false"/>
                <w:bCs w:val="false"/>
                <w:sz w:val="20"/>
                <w:szCs w:val="20"/>
              </w:rPr>
              <w:t xml:space="preserve">4 h</w:t>
            </w:r>
          </w:p>
        </w:tc>
      </w:tr>
      <w:tr>
        <w:tc>
          <w:tcPr>
            <w:tcW w:type="pct" w:w="50%"/>
            <w:tcBorders>
              <w:top w:val="single" w:sz="1"/>
              <w:left w:val="single" w:sz="1"/>
              <w:bottom w:val="single" w:sz="1"/>
              <w:right w:val="single" w:sz="1"/>
            </w:tcBorders>
          </w:tcPr>
          <w:p>
            <w:r>
              <w:rPr>
                <w:b w:val="false"/>
                <w:bCs w:val="false"/>
                <w:sz w:val="20"/>
                <w:szCs w:val="20"/>
              </w:rPr>
              <w:t xml:space="preserve">9</w:t>
            </w:r>
          </w:p>
        </w:tc>
        <w:tc>
          <w:tcPr>
            <w:tcW w:type="pct" w:w="50%"/>
            <w:tcBorders>
              <w:top w:val="single" w:sz="1"/>
              <w:left w:val="single" w:sz="1"/>
              <w:bottom w:val="single" w:sz="1"/>
              <w:right w:val="single" w:sz="1"/>
            </w:tcBorders>
          </w:tcPr>
          <w:p>
            <w:r>
              <w:rPr>
                <w:b w:val="false"/>
                <w:bCs w:val="false"/>
                <w:sz w:val="20"/>
                <w:szCs w:val="20"/>
              </w:rPr>
              <w:t xml:space="preserve">6 h</w:t>
            </w:r>
          </w:p>
        </w:tc>
      </w:tr>
      <w:tr>
        <w:tc>
          <w:tcPr>
            <w:tcW w:type="pct" w:w="50%"/>
            <w:tcBorders>
              <w:top w:val="single" w:sz="1"/>
              <w:left w:val="single" w:sz="1"/>
              <w:bottom w:val="single" w:sz="1"/>
              <w:right w:val="single" w:sz="1"/>
            </w:tcBorders>
          </w:tcPr>
          <w:p>
            <w:r>
              <w:rPr>
                <w:b w:val="false"/>
                <w:bCs w:val="false"/>
                <w:sz w:val="20"/>
                <w:szCs w:val="20"/>
              </w:rPr>
              <w:t xml:space="preserve">10</w:t>
            </w:r>
          </w:p>
        </w:tc>
        <w:tc>
          <w:tcPr>
            <w:tcW w:type="pct" w:w="50%"/>
            <w:tcBorders>
              <w:top w:val="single" w:sz="1"/>
              <w:left w:val="single" w:sz="1"/>
              <w:bottom w:val="single" w:sz="1"/>
              <w:right w:val="single" w:sz="1"/>
            </w:tcBorders>
          </w:tcPr>
          <w:p>
            <w:r>
              <w:rPr>
                <w:b w:val="false"/>
                <w:bCs w:val="false"/>
                <w:sz w:val="20"/>
                <w:szCs w:val="20"/>
              </w:rPr>
              <w:t xml:space="preserve">8 h</w:t>
            </w:r>
          </w:p>
        </w:tc>
      </w:tr>
    </w:tbl>
    <w:p>
      <w:pPr>
        <w:spacing w:after="120"/>
      </w:pPr>
      <w:r>
        <w:t xml:space="preserve">In addition to experimental samples, volunteers had a control blood sample taken 15 minutes before taking the product (to control the zero line and the absence of premeditation of taking the products in advance), the sample was numbered with the index «0». The fact of blood collection from the volunteer, as well as their taking of the medicinal product (test or reference), was certified in the sampling card by the volunteer's signature.</w:t>
      </w:r>
    </w:p>
    <w:p>
      <w:pPr>
        <w:pStyle w:val="Heading1"/>
        <w:spacing w:after="200"/>
        <w:jc w:val="left"/>
      </w:pPr>
      <w:r>
        <w:rPr>
          <w:b/>
          <w:bCs/>
          <w:sz w:val="28"/>
          <w:szCs w:val="28"/>
        </w:rPr>
        <w:t xml:space="preserve">V. VOLUNTEER SELECTION AND TRIAL PLAN.</w:t>
      </w:r>
    </w:p>
    <w:p>
      <w:pPr>
        <w:spacing w:after="120"/>
      </w:pPr>
      <w:r>
        <w:t xml:space="preserve">At the stage of forming the trial group, volunteers were invited to the research center, where the investigator conducted an interview with them, during which he familiarized them with the circumstances of conducting the trial of the medicinal product, and also conducted a primary assessment of compliance with the inclusion and exclusion criteria. To participate in the trial, the volunteer personally signed and dated the informed consent form in two copies. Along with the informed consent, they were given a volunteer information form.</w:t>
      </w:r>
    </w:p>
    <w:p>
      <w:pPr>
        <w:spacing w:after="120"/>
      </w:pPr>
      <w:r>
        <w:t xml:space="preserve">According to the inclusion criteria, preliminary examination of volunteers included obtaining demographic data, collecting anamnesis, measuring auxological parameters (height, weight), conducting a pregnancy test for women. Then, for volunteers who passed the preliminary examination, clinical examination was conducted, including physical examination by organs and systems, body temperature measurement, pulse rate, systolic and diastolic blood pressure, 12-lead electrocardiogram recording, complete blood count (determination of hemoglobin, erythrocytes, leukocytes, platelets, leukocyte formula, ESR), biochemical blood test (determination of total protein, glucose, urea, creatinine, bilirubin, ALT, AST, cholesterol, GGTP, potassium, sodium, chloride), urinalysis (determination of color, pH, specific gravity, clarity, presence of protein, sugar, blood cells and epithelium). In parallel, a procedure for phenotyping volunteers was performed to exclude from the study persons having the «slow metabolizer» phenotype for cytochrome CYP2C19.</w:t>
      </w:r>
    </w:p>
    <w:p>
      <w:pPr>
        <w:spacing w:after="120"/>
      </w:pPr>
      <w:r>
        <w:t xml:space="preserve">As a result of the selection, a group of 23 healthy volunteers was formed, of which 19 – main composition (Nos. 01-19) – see Table 2.</w:t>
      </w:r>
    </w:p>
    <w:p>
      <w:pPr>
        <w:spacing w:after="120"/>
      </w:pPr>
      <w:r>
        <w:t xml:space="preserve">All volunteers included in the study underwent phenotyping procedure to determine persons with defective isoform of cytochrome CYP2C19 (slow metabolizers of lansoprazole), with the aim of excluding the risk of adverse events in this group of patients associated with high plasma concentrations of lansoprazole and reducing inter-individual scatter of pharmacokinetic parameters obtained. 48 hours before phenotyping, volunteers were excluded from the diet products containing alcohol, grapefruits, caffeine, biologically active food additives, multivitamin preparations, over-the-counter medicinal products. The phenotyping procedure was conducted on December 17-20, 2008.</w:t>
      </w:r>
    </w:p>
    <w:p>
      <w:pPr>
        <w:spacing w:after="120"/>
      </w:pPr>
      <w:r>
        <w:t xml:space="preserve">During the phenotyping procedure, each volunteer took a test dose (30 mg) of lansoprazole (in the form of LANZOPTOL capsules containing 30 mg of lansoprazole, lot B49828, manufactured by KRKA, d.d. (SLOVENIA)). 4 hours after taking lansoprazole, blood was drawn from the volunteer for subsequent analysis of lansoprazole sulfone metabolite content. Blood samples were stored at -50°C.</w:t>
      </w:r>
    </w:p>
    <w:p>
      <w:pPr>
        <w:spacing w:after="120"/>
      </w:pPr>
      <w:r>
        <w:t xml:space="preserve">After quantitative determination of the level of lansoprazole sulfone, its exceedance of the control threshold of 100 ng/ml was determined. Lansoprazole sulfone is not determined in extensive metabolizers of lansoprazole, since the main pathway of lansoprazole metabolism is its hydroxylation by CYP2C19. In slow metabolizers of lansoprazole (CYP2C19 defect), the level of lansoprazole sulfone exceeds this threshold. 19 volunteers from the group of extensive metabolizers of lansoprazole (plasma content of lansoprazole sulfone 4 hours after taking the product not exceeding 100 ng/ml) were included in the clinical phase of the study. Volunteers with defective isoform CYP2C19 – slow metabolizers of lansoprazole were excluded from the study.</w:t>
      </w:r>
    </w:p>
    <w:p>
      <w:pPr>
        <w:spacing w:after="120"/>
      </w:pPr>
      <w:r>
        <w:t xml:space="preserve">Demographic data of volunteers, as well as phenotyping results are presented in Table 2. According to phenotyping results, 1 slow metabolizer (lansoprazole sulfone level 211.7 ng/ml) was excluded from the number of volunteers. The main group consisted of the remaining 19 volunteers.</w:t>
      </w:r>
    </w:p>
    <w:p>
      <w:pPr>
        <w:pStyle w:val="Heading2"/>
        <w:spacing w:after="200"/>
        <w:jc w:val="left"/>
      </w:pPr>
      <w:r>
        <w:rPr>
          <w:b/>
          <w:bCs/>
          <w:sz w:val="24"/>
          <w:szCs w:val="24"/>
        </w:rPr>
        <w:t xml:space="preserve">Table 2. Demographic data of volunteers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1%"/>
            <w:tcBorders>
              <w:top w:val="single" w:sz="1"/>
              <w:left w:val="single" w:sz="1"/>
              <w:bottom w:val="single" w:sz="1"/>
              <w:right w:val="single" w:sz="1"/>
            </w:tcBorders>
          </w:tcPr>
          <w:p>
            <w:r>
              <w:rPr>
                <w:b/>
                <w:bCs/>
                <w:sz w:val="20"/>
                <w:szCs w:val="20"/>
              </w:rPr>
              <w:t xml:space="preserve">No.</w:t>
            </w:r>
          </w:p>
        </w:tc>
        <w:tc>
          <w:tcPr>
            <w:tcW w:type="pct" w:w="11%"/>
            <w:tcBorders>
              <w:top w:val="single" w:sz="1"/>
              <w:left w:val="single" w:sz="1"/>
              <w:bottom w:val="single" w:sz="1"/>
              <w:right w:val="single" w:sz="1"/>
            </w:tcBorders>
          </w:tcPr>
          <w:p>
            <w:r>
              <w:rPr>
                <w:b/>
                <w:bCs/>
                <w:sz w:val="20"/>
                <w:szCs w:val="20"/>
              </w:rPr>
              <w:t xml:space="preserve">Code</w:t>
            </w:r>
          </w:p>
        </w:tc>
        <w:tc>
          <w:tcPr>
            <w:tcW w:type="pct" w:w="11%"/>
            <w:tcBorders>
              <w:top w:val="single" w:sz="1"/>
              <w:left w:val="single" w:sz="1"/>
              <w:bottom w:val="single" w:sz="1"/>
              <w:right w:val="single" w:sz="1"/>
            </w:tcBorders>
          </w:tcPr>
          <w:p>
            <w:r>
              <w:rPr>
                <w:b/>
                <w:bCs/>
                <w:sz w:val="20"/>
                <w:szCs w:val="20"/>
              </w:rPr>
              <w:t xml:space="preserve">Full name</w:t>
            </w:r>
          </w:p>
        </w:tc>
        <w:tc>
          <w:tcPr>
            <w:tcW w:type="pct" w:w="11%"/>
            <w:tcBorders>
              <w:top w:val="single" w:sz="1"/>
              <w:left w:val="single" w:sz="1"/>
              <w:bottom w:val="single" w:sz="1"/>
              <w:right w:val="single" w:sz="1"/>
            </w:tcBorders>
          </w:tcPr>
          <w:p>
            <w:r>
              <w:rPr>
                <w:b/>
                <w:bCs/>
                <w:sz w:val="20"/>
                <w:szCs w:val="20"/>
              </w:rPr>
              <w:t xml:space="preserve">Gender</w:t>
            </w:r>
          </w:p>
        </w:tc>
        <w:tc>
          <w:tcPr>
            <w:tcW w:type="pct" w:w="11%"/>
            <w:tcBorders>
              <w:top w:val="single" w:sz="1"/>
              <w:left w:val="single" w:sz="1"/>
              <w:bottom w:val="single" w:sz="1"/>
              <w:right w:val="single" w:sz="1"/>
            </w:tcBorders>
          </w:tcPr>
          <w:p>
            <w:r>
              <w:rPr>
                <w:b/>
                <w:bCs/>
                <w:sz w:val="20"/>
                <w:szCs w:val="20"/>
              </w:rPr>
              <w:t xml:space="preserve">Age (years)</w:t>
            </w:r>
          </w:p>
        </w:tc>
        <w:tc>
          <w:tcPr>
            <w:tcW w:type="pct" w:w="11%"/>
            <w:tcBorders>
              <w:top w:val="single" w:sz="1"/>
              <w:left w:val="single" w:sz="1"/>
              <w:bottom w:val="single" w:sz="1"/>
              <w:right w:val="single" w:sz="1"/>
            </w:tcBorders>
          </w:tcPr>
          <w:p>
            <w:r>
              <w:rPr>
                <w:b/>
                <w:bCs/>
                <w:sz w:val="20"/>
                <w:szCs w:val="20"/>
              </w:rPr>
              <w:t xml:space="preserve">Height (cm)</w:t>
            </w:r>
          </w:p>
        </w:tc>
        <w:tc>
          <w:tcPr>
            <w:tcW w:type="pct" w:w="11%"/>
            <w:tcBorders>
              <w:top w:val="single" w:sz="1"/>
              <w:left w:val="single" w:sz="1"/>
              <w:bottom w:val="single" w:sz="1"/>
              <w:right w:val="single" w:sz="1"/>
            </w:tcBorders>
          </w:tcPr>
          <w:p>
            <w:r>
              <w:rPr>
                <w:b/>
                <w:bCs/>
                <w:sz w:val="20"/>
                <w:szCs w:val="20"/>
              </w:rPr>
              <w:t xml:space="preserve">Weight (kg)</w:t>
            </w:r>
          </w:p>
        </w:tc>
        <w:tc>
          <w:tcPr>
            <w:tcW w:type="pct" w:w="11%"/>
            <w:tcBorders>
              <w:top w:val="single" w:sz="1"/>
              <w:left w:val="single" w:sz="1"/>
              <w:bottom w:val="single" w:sz="1"/>
              <w:right w:val="single" w:sz="1"/>
            </w:tcBorders>
          </w:tcPr>
          <w:p>
            <w:r>
              <w:rPr>
                <w:b/>
                <w:bCs/>
                <w:sz w:val="20"/>
                <w:szCs w:val="20"/>
              </w:rPr>
              <w:t xml:space="preserve">Blood sampling</w:t>
            </w:r>
          </w:p>
        </w:tc>
        <w:tc>
          <w:tcPr>
            <w:tcW w:type="pct" w:w="11%"/>
            <w:tcBorders>
              <w:top w:val="single" w:sz="1"/>
              <w:left w:val="single" w:sz="1"/>
              <w:bottom w:val="single" w:sz="1"/>
              <w:right w:val="single" w:sz="1"/>
            </w:tcBorders>
          </w:tcPr>
          <w:p>
            <w:r>
              <w:rPr>
                <w:b/>
                <w:bCs/>
                <w:sz w:val="20"/>
                <w:szCs w:val="20"/>
              </w:rPr>
              <w:t xml:space="preserve">LANSOPRAZOLE SULFONE (ng/ml)</w:t>
            </w:r>
          </w:p>
        </w:tc>
      </w:tr>
      <w:tr>
        <w:tc>
          <w:tcPr>
            <w:tcW w:type="pct" w:w="11%"/>
            <w:tcBorders>
              <w:top w:val="single" w:sz="1"/>
              <w:left w:val="single" w:sz="1"/>
              <w:bottom w:val="single" w:sz="1"/>
              <w:right w:val="single" w:sz="1"/>
            </w:tcBorders>
          </w:tcPr>
          <w:p>
            <w:r>
              <w:rPr>
                <w:b w:val="false"/>
                <w:bCs w:val="false"/>
                <w:sz w:val="20"/>
                <w:szCs w:val="20"/>
              </w:rPr>
              <w:t xml:space="preserve">1.</w:t>
            </w:r>
          </w:p>
        </w:tc>
        <w:tc>
          <w:tcPr>
            <w:tcW w:type="pct" w:w="11%"/>
            <w:tcBorders>
              <w:top w:val="single" w:sz="1"/>
              <w:left w:val="single" w:sz="1"/>
              <w:bottom w:val="single" w:sz="1"/>
              <w:right w:val="single" w:sz="1"/>
            </w:tcBorders>
          </w:tcPr>
          <w:p>
            <w:r>
              <w:rPr>
                <w:b w:val="false"/>
                <w:bCs w:val="false"/>
                <w:sz w:val="20"/>
                <w:szCs w:val="20"/>
              </w:rPr>
              <w:t xml:space="preserve">D-01</w:t>
            </w:r>
          </w:p>
        </w:tc>
        <w:tc>
          <w:tcPr>
            <w:tcW w:type="pct" w:w="11%"/>
            <w:tcBorders>
              <w:top w:val="single" w:sz="1"/>
              <w:left w:val="single" w:sz="1"/>
              <w:bottom w:val="single" w:sz="1"/>
              <w:right w:val="single" w:sz="1"/>
            </w:tcBorders>
          </w:tcPr>
          <w:p>
            <w:r>
              <w:rPr>
                <w:b w:val="false"/>
                <w:bCs w:val="false"/>
                <w:sz w:val="20"/>
                <w:szCs w:val="20"/>
              </w:rPr>
              <w:t xml:space="preserve">BBV</w:t>
            </w:r>
          </w:p>
        </w:tc>
        <w:tc>
          <w:tcPr>
            <w:tcW w:type="pct" w:w="11%"/>
            <w:tcBorders>
              <w:top w:val="single" w:sz="1"/>
              <w:left w:val="single" w:sz="1"/>
              <w:bottom w:val="single" w:sz="1"/>
              <w:right w:val="single" w:sz="1"/>
            </w:tcBorders>
          </w:tcPr>
          <w:p>
            <w:r>
              <w:rPr>
                <w:b w:val="false"/>
                <w:bCs w:val="false"/>
                <w:sz w:val="20"/>
                <w:szCs w:val="20"/>
              </w:rPr>
              <w:t xml:space="preserve">male</w:t>
            </w:r>
          </w:p>
        </w:tc>
        <w:tc>
          <w:tcPr>
            <w:tcW w:type="pct" w:w="11%"/>
            <w:tcBorders>
              <w:top w:val="single" w:sz="1"/>
              <w:left w:val="single" w:sz="1"/>
              <w:bottom w:val="single" w:sz="1"/>
              <w:right w:val="single" w:sz="1"/>
            </w:tcBorders>
          </w:tcPr>
          <w:p>
            <w:r>
              <w:rPr>
                <w:b w:val="false"/>
                <w:bCs w:val="false"/>
                <w:sz w:val="20"/>
                <w:szCs w:val="20"/>
              </w:rPr>
              <w:t xml:space="preserve">44</w:t>
            </w:r>
          </w:p>
        </w:tc>
        <w:tc>
          <w:tcPr>
            <w:tcW w:type="pct" w:w="11%"/>
            <w:tcBorders>
              <w:top w:val="single" w:sz="1"/>
              <w:left w:val="single" w:sz="1"/>
              <w:bottom w:val="single" w:sz="1"/>
              <w:right w:val="single" w:sz="1"/>
            </w:tcBorders>
          </w:tcPr>
          <w:p>
            <w:r>
              <w:rPr>
                <w:b w:val="false"/>
                <w:bCs w:val="false"/>
                <w:sz w:val="20"/>
                <w:szCs w:val="20"/>
              </w:rPr>
              <w:t xml:space="preserve">168</w:t>
            </w:r>
          </w:p>
        </w:tc>
        <w:tc>
          <w:tcPr>
            <w:tcW w:type="pct" w:w="11%"/>
            <w:tcBorders>
              <w:top w:val="single" w:sz="1"/>
              <w:left w:val="single" w:sz="1"/>
              <w:bottom w:val="single" w:sz="1"/>
              <w:right w:val="single" w:sz="1"/>
            </w:tcBorders>
          </w:tcPr>
          <w:p>
            <w:r>
              <w:rPr>
                <w:b w:val="false"/>
                <w:bCs w:val="false"/>
                <w:sz w:val="20"/>
                <w:szCs w:val="20"/>
              </w:rPr>
              <w:t xml:space="preserve">72</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23.6</w:t>
            </w:r>
          </w:p>
        </w:tc>
      </w:tr>
      <w:tr>
        <w:tc>
          <w:tcPr>
            <w:tcW w:type="pct" w:w="11%"/>
            <w:tcBorders>
              <w:top w:val="single" w:sz="1"/>
              <w:left w:val="single" w:sz="1"/>
              <w:bottom w:val="single" w:sz="1"/>
              <w:right w:val="single" w:sz="1"/>
            </w:tcBorders>
          </w:tcPr>
          <w:p>
            <w:r>
              <w:rPr>
                <w:b w:val="false"/>
                <w:bCs w:val="false"/>
                <w:sz w:val="20"/>
                <w:szCs w:val="20"/>
              </w:rPr>
              <w:t xml:space="preserve">2.</w:t>
            </w:r>
          </w:p>
        </w:tc>
        <w:tc>
          <w:tcPr>
            <w:tcW w:type="pct" w:w="11%"/>
            <w:tcBorders>
              <w:top w:val="single" w:sz="1"/>
              <w:left w:val="single" w:sz="1"/>
              <w:bottom w:val="single" w:sz="1"/>
              <w:right w:val="single" w:sz="1"/>
            </w:tcBorders>
          </w:tcPr>
          <w:p>
            <w:r>
              <w:rPr>
                <w:b w:val="false"/>
                <w:bCs w:val="false"/>
                <w:sz w:val="20"/>
                <w:szCs w:val="20"/>
              </w:rPr>
              <w:t xml:space="preserve">D-02</w:t>
            </w:r>
          </w:p>
        </w:tc>
        <w:tc>
          <w:tcPr>
            <w:tcW w:type="pct" w:w="11%"/>
            <w:tcBorders>
              <w:top w:val="single" w:sz="1"/>
              <w:left w:val="single" w:sz="1"/>
              <w:bottom w:val="single" w:sz="1"/>
              <w:right w:val="single" w:sz="1"/>
            </w:tcBorders>
          </w:tcPr>
          <w:p>
            <w:r>
              <w:rPr>
                <w:b w:val="false"/>
                <w:bCs w:val="false"/>
                <w:sz w:val="20"/>
                <w:szCs w:val="20"/>
              </w:rPr>
              <w:t xml:space="preserve">PAP</w:t>
            </w:r>
          </w:p>
        </w:tc>
        <w:tc>
          <w:tcPr>
            <w:tcW w:type="pct" w:w="11%"/>
            <w:tcBorders>
              <w:top w:val="single" w:sz="1"/>
              <w:left w:val="single" w:sz="1"/>
              <w:bottom w:val="single" w:sz="1"/>
              <w:right w:val="single" w:sz="1"/>
            </w:tcBorders>
          </w:tcPr>
          <w:p>
            <w:r>
              <w:rPr>
                <w:b w:val="false"/>
                <w:bCs w:val="false"/>
                <w:sz w:val="20"/>
                <w:szCs w:val="20"/>
              </w:rPr>
              <w:t xml:space="preserve">female</w:t>
            </w:r>
          </w:p>
        </w:tc>
        <w:tc>
          <w:tcPr>
            <w:tcW w:type="pct" w:w="11%"/>
            <w:tcBorders>
              <w:top w:val="single" w:sz="1"/>
              <w:left w:val="single" w:sz="1"/>
              <w:bottom w:val="single" w:sz="1"/>
              <w:right w:val="single" w:sz="1"/>
            </w:tcBorders>
          </w:tcPr>
          <w:p>
            <w:r>
              <w:rPr>
                <w:b w:val="false"/>
                <w:bCs w:val="false"/>
                <w:sz w:val="20"/>
                <w:szCs w:val="20"/>
              </w:rPr>
              <w:t xml:space="preserve">28</w:t>
            </w:r>
          </w:p>
        </w:tc>
        <w:tc>
          <w:tcPr>
            <w:tcW w:type="pct" w:w="11%"/>
            <w:tcBorders>
              <w:top w:val="single" w:sz="1"/>
              <w:left w:val="single" w:sz="1"/>
              <w:bottom w:val="single" w:sz="1"/>
              <w:right w:val="single" w:sz="1"/>
            </w:tcBorders>
          </w:tcPr>
          <w:p>
            <w:r>
              <w:rPr>
                <w:b w:val="false"/>
                <w:bCs w:val="false"/>
                <w:sz w:val="20"/>
                <w:szCs w:val="20"/>
              </w:rPr>
              <w:t xml:space="preserve">160</w:t>
            </w:r>
          </w:p>
        </w:tc>
        <w:tc>
          <w:tcPr>
            <w:tcW w:type="pct" w:w="11%"/>
            <w:tcBorders>
              <w:top w:val="single" w:sz="1"/>
              <w:left w:val="single" w:sz="1"/>
              <w:bottom w:val="single" w:sz="1"/>
              <w:right w:val="single" w:sz="1"/>
            </w:tcBorders>
          </w:tcPr>
          <w:p>
            <w:r>
              <w:rPr>
                <w:b w:val="false"/>
                <w:bCs w:val="false"/>
                <w:sz w:val="20"/>
                <w:szCs w:val="20"/>
              </w:rPr>
              <w:t xml:space="preserve">51</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39</w:t>
            </w:r>
          </w:p>
        </w:tc>
      </w:tr>
      <w:tr>
        <w:tc>
          <w:tcPr>
            <w:tcW w:type="pct" w:w="11%"/>
            <w:tcBorders>
              <w:top w:val="single" w:sz="1"/>
              <w:left w:val="single" w:sz="1"/>
              <w:bottom w:val="single" w:sz="1"/>
              <w:right w:val="single" w:sz="1"/>
            </w:tcBorders>
          </w:tcPr>
          <w:p>
            <w:r>
              <w:rPr>
                <w:b w:val="false"/>
                <w:bCs w:val="false"/>
                <w:sz w:val="20"/>
                <w:szCs w:val="20"/>
              </w:rPr>
              <w:t xml:space="preserve">3.</w:t>
            </w:r>
          </w:p>
        </w:tc>
        <w:tc>
          <w:tcPr>
            <w:tcW w:type="pct" w:w="11%"/>
            <w:tcBorders>
              <w:top w:val="single" w:sz="1"/>
              <w:left w:val="single" w:sz="1"/>
              <w:bottom w:val="single" w:sz="1"/>
              <w:right w:val="single" w:sz="1"/>
            </w:tcBorders>
          </w:tcPr>
          <w:p>
            <w:r>
              <w:rPr>
                <w:b w:val="false"/>
                <w:bCs w:val="false"/>
                <w:sz w:val="20"/>
                <w:szCs w:val="20"/>
              </w:rPr>
              <w:t xml:space="preserve">D-03</w:t>
            </w:r>
          </w:p>
        </w:tc>
        <w:tc>
          <w:tcPr>
            <w:tcW w:type="pct" w:w="11%"/>
            <w:tcBorders>
              <w:top w:val="single" w:sz="1"/>
              <w:left w:val="single" w:sz="1"/>
              <w:bottom w:val="single" w:sz="1"/>
              <w:right w:val="single" w:sz="1"/>
            </w:tcBorders>
          </w:tcPr>
          <w:p>
            <w:r>
              <w:rPr>
                <w:b w:val="false"/>
                <w:bCs w:val="false"/>
                <w:sz w:val="20"/>
                <w:szCs w:val="20"/>
              </w:rPr>
              <w:t xml:space="preserve">MIA</w:t>
            </w:r>
          </w:p>
        </w:tc>
        <w:tc>
          <w:tcPr>
            <w:tcW w:type="pct" w:w="11%"/>
            <w:tcBorders>
              <w:top w:val="single" w:sz="1"/>
              <w:left w:val="single" w:sz="1"/>
              <w:bottom w:val="single" w:sz="1"/>
              <w:right w:val="single" w:sz="1"/>
            </w:tcBorders>
          </w:tcPr>
          <w:p>
            <w:r>
              <w:rPr>
                <w:b w:val="false"/>
                <w:bCs w:val="false"/>
                <w:sz w:val="20"/>
                <w:szCs w:val="20"/>
              </w:rPr>
              <w:t xml:space="preserve">female</w:t>
            </w:r>
          </w:p>
        </w:tc>
        <w:tc>
          <w:tcPr>
            <w:tcW w:type="pct" w:w="11%"/>
            <w:tcBorders>
              <w:top w:val="single" w:sz="1"/>
              <w:left w:val="single" w:sz="1"/>
              <w:bottom w:val="single" w:sz="1"/>
              <w:right w:val="single" w:sz="1"/>
            </w:tcBorders>
          </w:tcPr>
          <w:p>
            <w:r>
              <w:rPr>
                <w:b w:val="false"/>
                <w:bCs w:val="false"/>
                <w:sz w:val="20"/>
                <w:szCs w:val="20"/>
              </w:rPr>
              <w:t xml:space="preserve">25</w:t>
            </w:r>
          </w:p>
        </w:tc>
        <w:tc>
          <w:tcPr>
            <w:tcW w:type="pct" w:w="11%"/>
            <w:tcBorders>
              <w:top w:val="single" w:sz="1"/>
              <w:left w:val="single" w:sz="1"/>
              <w:bottom w:val="single" w:sz="1"/>
              <w:right w:val="single" w:sz="1"/>
            </w:tcBorders>
          </w:tcPr>
          <w:p>
            <w:r>
              <w:rPr>
                <w:b w:val="false"/>
                <w:bCs w:val="false"/>
                <w:sz w:val="20"/>
                <w:szCs w:val="20"/>
              </w:rPr>
              <w:t xml:space="preserve">165</w:t>
            </w:r>
          </w:p>
        </w:tc>
        <w:tc>
          <w:tcPr>
            <w:tcW w:type="pct" w:w="11%"/>
            <w:tcBorders>
              <w:top w:val="single" w:sz="1"/>
              <w:left w:val="single" w:sz="1"/>
              <w:bottom w:val="single" w:sz="1"/>
              <w:right w:val="single" w:sz="1"/>
            </w:tcBorders>
          </w:tcPr>
          <w:p>
            <w:r>
              <w:rPr>
                <w:b w:val="false"/>
                <w:bCs w:val="false"/>
                <w:sz w:val="20"/>
                <w:szCs w:val="20"/>
              </w:rPr>
              <w:t xml:space="preserve">54</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NLO</w:t>
            </w:r>
          </w:p>
        </w:tc>
      </w:tr>
      <w:tr>
        <w:tc>
          <w:tcPr>
            <w:tcW w:type="pct" w:w="11%"/>
            <w:tcBorders>
              <w:top w:val="single" w:sz="1"/>
              <w:left w:val="single" w:sz="1"/>
              <w:bottom w:val="single" w:sz="1"/>
              <w:right w:val="single" w:sz="1"/>
            </w:tcBorders>
          </w:tcPr>
          <w:p>
            <w:r>
              <w:rPr>
                <w:b w:val="false"/>
                <w:bCs w:val="false"/>
                <w:sz w:val="20"/>
                <w:szCs w:val="20"/>
              </w:rPr>
              <w:t xml:space="preserve">4.</w:t>
            </w:r>
          </w:p>
        </w:tc>
        <w:tc>
          <w:tcPr>
            <w:tcW w:type="pct" w:w="11%"/>
            <w:tcBorders>
              <w:top w:val="single" w:sz="1"/>
              <w:left w:val="single" w:sz="1"/>
              <w:bottom w:val="single" w:sz="1"/>
              <w:right w:val="single" w:sz="1"/>
            </w:tcBorders>
          </w:tcPr>
          <w:p>
            <w:r>
              <w:rPr>
                <w:b w:val="false"/>
                <w:bCs w:val="false"/>
                <w:sz w:val="20"/>
                <w:szCs w:val="20"/>
              </w:rPr>
              <w:t xml:space="preserve">D-04</w:t>
            </w:r>
          </w:p>
        </w:tc>
        <w:tc>
          <w:tcPr>
            <w:tcW w:type="pct" w:w="11%"/>
            <w:tcBorders>
              <w:top w:val="single" w:sz="1"/>
              <w:left w:val="single" w:sz="1"/>
              <w:bottom w:val="single" w:sz="1"/>
              <w:right w:val="single" w:sz="1"/>
            </w:tcBorders>
          </w:tcPr>
          <w:p>
            <w:r>
              <w:rPr>
                <w:b w:val="false"/>
                <w:bCs w:val="false"/>
                <w:sz w:val="20"/>
                <w:szCs w:val="20"/>
              </w:rPr>
              <w:t xml:space="preserve">SAS</w:t>
            </w:r>
          </w:p>
        </w:tc>
        <w:tc>
          <w:tcPr>
            <w:tcW w:type="pct" w:w="11%"/>
            <w:tcBorders>
              <w:top w:val="single" w:sz="1"/>
              <w:left w:val="single" w:sz="1"/>
              <w:bottom w:val="single" w:sz="1"/>
              <w:right w:val="single" w:sz="1"/>
            </w:tcBorders>
          </w:tcPr>
          <w:p>
            <w:r>
              <w:rPr>
                <w:b w:val="false"/>
                <w:bCs w:val="false"/>
                <w:sz w:val="20"/>
                <w:szCs w:val="20"/>
              </w:rPr>
              <w:t xml:space="preserve">male</w:t>
            </w:r>
          </w:p>
        </w:tc>
        <w:tc>
          <w:tcPr>
            <w:tcW w:type="pct" w:w="11%"/>
            <w:tcBorders>
              <w:top w:val="single" w:sz="1"/>
              <w:left w:val="single" w:sz="1"/>
              <w:bottom w:val="single" w:sz="1"/>
              <w:right w:val="single" w:sz="1"/>
            </w:tcBorders>
          </w:tcPr>
          <w:p>
            <w:r>
              <w:rPr>
                <w:b w:val="false"/>
                <w:bCs w:val="false"/>
                <w:sz w:val="20"/>
                <w:szCs w:val="20"/>
              </w:rPr>
              <w:t xml:space="preserve">25</w:t>
            </w:r>
          </w:p>
        </w:tc>
        <w:tc>
          <w:tcPr>
            <w:tcW w:type="pct" w:w="11%"/>
            <w:tcBorders>
              <w:top w:val="single" w:sz="1"/>
              <w:left w:val="single" w:sz="1"/>
              <w:bottom w:val="single" w:sz="1"/>
              <w:right w:val="single" w:sz="1"/>
            </w:tcBorders>
          </w:tcPr>
          <w:p>
            <w:r>
              <w:rPr>
                <w:b w:val="false"/>
                <w:bCs w:val="false"/>
                <w:sz w:val="20"/>
                <w:szCs w:val="20"/>
              </w:rPr>
              <w:t xml:space="preserve">170</w:t>
            </w:r>
          </w:p>
        </w:tc>
        <w:tc>
          <w:tcPr>
            <w:tcW w:type="pct" w:w="11%"/>
            <w:tcBorders>
              <w:top w:val="single" w:sz="1"/>
              <w:left w:val="single" w:sz="1"/>
              <w:bottom w:val="single" w:sz="1"/>
              <w:right w:val="single" w:sz="1"/>
            </w:tcBorders>
          </w:tcPr>
          <w:p>
            <w:r>
              <w:rPr>
                <w:b w:val="false"/>
                <w:bCs w:val="false"/>
                <w:sz w:val="20"/>
                <w:szCs w:val="20"/>
              </w:rPr>
              <w:t xml:space="preserve">62</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20.4</w:t>
            </w:r>
          </w:p>
        </w:tc>
      </w:tr>
      <w:tr>
        <w:tc>
          <w:tcPr>
            <w:tcW w:type="pct" w:w="11%"/>
            <w:tcBorders>
              <w:top w:val="single" w:sz="1"/>
              <w:left w:val="single" w:sz="1"/>
              <w:bottom w:val="single" w:sz="1"/>
              <w:right w:val="single" w:sz="1"/>
            </w:tcBorders>
          </w:tcPr>
          <w:p>
            <w:r>
              <w:rPr>
                <w:b w:val="false"/>
                <w:bCs w:val="false"/>
                <w:sz w:val="20"/>
                <w:szCs w:val="20"/>
              </w:rPr>
              <w:t xml:space="preserve">5.</w:t>
            </w:r>
          </w:p>
        </w:tc>
        <w:tc>
          <w:tcPr>
            <w:tcW w:type="pct" w:w="11%"/>
            <w:tcBorders>
              <w:top w:val="single" w:sz="1"/>
              <w:left w:val="single" w:sz="1"/>
              <w:bottom w:val="single" w:sz="1"/>
              <w:right w:val="single" w:sz="1"/>
            </w:tcBorders>
          </w:tcPr>
          <w:p>
            <w:r>
              <w:rPr>
                <w:b w:val="false"/>
                <w:bCs w:val="false"/>
                <w:sz w:val="20"/>
                <w:szCs w:val="20"/>
              </w:rPr>
              <w:t xml:space="preserve">D-05</w:t>
            </w:r>
          </w:p>
        </w:tc>
        <w:tc>
          <w:tcPr>
            <w:tcW w:type="pct" w:w="11%"/>
            <w:tcBorders>
              <w:top w:val="single" w:sz="1"/>
              <w:left w:val="single" w:sz="1"/>
              <w:bottom w:val="single" w:sz="1"/>
              <w:right w:val="single" w:sz="1"/>
            </w:tcBorders>
          </w:tcPr>
          <w:p>
            <w:r>
              <w:rPr>
                <w:b w:val="false"/>
                <w:bCs w:val="false"/>
                <w:sz w:val="20"/>
                <w:szCs w:val="20"/>
              </w:rPr>
              <w:t xml:space="preserve">KAO</w:t>
            </w:r>
          </w:p>
        </w:tc>
        <w:tc>
          <w:tcPr>
            <w:tcW w:type="pct" w:w="11%"/>
            <w:tcBorders>
              <w:top w:val="single" w:sz="1"/>
              <w:left w:val="single" w:sz="1"/>
              <w:bottom w:val="single" w:sz="1"/>
              <w:right w:val="single" w:sz="1"/>
            </w:tcBorders>
          </w:tcPr>
          <w:p>
            <w:r>
              <w:rPr>
                <w:b w:val="false"/>
                <w:bCs w:val="false"/>
                <w:sz w:val="20"/>
                <w:szCs w:val="20"/>
              </w:rPr>
              <w:t xml:space="preserve">female</w:t>
            </w:r>
          </w:p>
        </w:tc>
        <w:tc>
          <w:tcPr>
            <w:tcW w:type="pct" w:w="11%"/>
            <w:tcBorders>
              <w:top w:val="single" w:sz="1"/>
              <w:left w:val="single" w:sz="1"/>
              <w:bottom w:val="single" w:sz="1"/>
              <w:right w:val="single" w:sz="1"/>
            </w:tcBorders>
          </w:tcPr>
          <w:p>
            <w:r>
              <w:rPr>
                <w:b w:val="false"/>
                <w:bCs w:val="false"/>
                <w:sz w:val="20"/>
                <w:szCs w:val="20"/>
              </w:rPr>
              <w:t xml:space="preserve">27</w:t>
            </w:r>
          </w:p>
        </w:tc>
        <w:tc>
          <w:tcPr>
            <w:tcW w:type="pct" w:w="11%"/>
            <w:tcBorders>
              <w:top w:val="single" w:sz="1"/>
              <w:left w:val="single" w:sz="1"/>
              <w:bottom w:val="single" w:sz="1"/>
              <w:right w:val="single" w:sz="1"/>
            </w:tcBorders>
          </w:tcPr>
          <w:p>
            <w:r>
              <w:rPr>
                <w:b w:val="false"/>
                <w:bCs w:val="false"/>
                <w:sz w:val="20"/>
                <w:szCs w:val="20"/>
              </w:rPr>
              <w:t xml:space="preserve">170</w:t>
            </w:r>
          </w:p>
        </w:tc>
        <w:tc>
          <w:tcPr>
            <w:tcW w:type="pct" w:w="11%"/>
            <w:tcBorders>
              <w:top w:val="single" w:sz="1"/>
              <w:left w:val="single" w:sz="1"/>
              <w:bottom w:val="single" w:sz="1"/>
              <w:right w:val="single" w:sz="1"/>
            </w:tcBorders>
          </w:tcPr>
          <w:p>
            <w:r>
              <w:rPr>
                <w:b w:val="false"/>
                <w:bCs w:val="false"/>
                <w:sz w:val="20"/>
                <w:szCs w:val="20"/>
              </w:rPr>
              <w:t xml:space="preserve">61</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NLO</w:t>
            </w:r>
          </w:p>
        </w:tc>
      </w:tr>
      <w:tr>
        <w:tc>
          <w:tcPr>
            <w:tcW w:type="pct" w:w="11%"/>
            <w:tcBorders>
              <w:top w:val="single" w:sz="1"/>
              <w:left w:val="single" w:sz="1"/>
              <w:bottom w:val="single" w:sz="1"/>
              <w:right w:val="single" w:sz="1"/>
            </w:tcBorders>
          </w:tcPr>
          <w:p>
            <w:r>
              <w:rPr>
                <w:b w:val="false"/>
                <w:bCs w:val="false"/>
                <w:sz w:val="20"/>
                <w:szCs w:val="20"/>
              </w:rPr>
              <w:t xml:space="preserve">6.</w:t>
            </w:r>
          </w:p>
        </w:tc>
        <w:tc>
          <w:tcPr>
            <w:tcW w:type="pct" w:w="11%"/>
            <w:tcBorders>
              <w:top w:val="single" w:sz="1"/>
              <w:left w:val="single" w:sz="1"/>
              <w:bottom w:val="single" w:sz="1"/>
              <w:right w:val="single" w:sz="1"/>
            </w:tcBorders>
          </w:tcPr>
          <w:p>
            <w:r>
              <w:rPr>
                <w:b w:val="false"/>
                <w:bCs w:val="false"/>
                <w:sz w:val="20"/>
                <w:szCs w:val="20"/>
              </w:rPr>
              <w:t xml:space="preserve">D-06</w:t>
            </w:r>
          </w:p>
        </w:tc>
        <w:tc>
          <w:tcPr>
            <w:tcW w:type="pct" w:w="11%"/>
            <w:tcBorders>
              <w:top w:val="single" w:sz="1"/>
              <w:left w:val="single" w:sz="1"/>
              <w:bottom w:val="single" w:sz="1"/>
              <w:right w:val="single" w:sz="1"/>
            </w:tcBorders>
          </w:tcPr>
          <w:p>
            <w:r>
              <w:rPr>
                <w:b w:val="false"/>
                <w:bCs w:val="false"/>
                <w:sz w:val="20"/>
                <w:szCs w:val="20"/>
              </w:rPr>
              <w:t xml:space="preserve">VBV</w:t>
            </w:r>
          </w:p>
        </w:tc>
        <w:tc>
          <w:tcPr>
            <w:tcW w:type="pct" w:w="11%"/>
            <w:tcBorders>
              <w:top w:val="single" w:sz="1"/>
              <w:left w:val="single" w:sz="1"/>
              <w:bottom w:val="single" w:sz="1"/>
              <w:right w:val="single" w:sz="1"/>
            </w:tcBorders>
          </w:tcPr>
          <w:p>
            <w:r>
              <w:rPr>
                <w:b w:val="false"/>
                <w:bCs w:val="false"/>
                <w:sz w:val="20"/>
                <w:szCs w:val="20"/>
              </w:rPr>
              <w:t xml:space="preserve">female</w:t>
            </w:r>
          </w:p>
        </w:tc>
        <w:tc>
          <w:tcPr>
            <w:tcW w:type="pct" w:w="11%"/>
            <w:tcBorders>
              <w:top w:val="single" w:sz="1"/>
              <w:left w:val="single" w:sz="1"/>
              <w:bottom w:val="single" w:sz="1"/>
              <w:right w:val="single" w:sz="1"/>
            </w:tcBorders>
          </w:tcPr>
          <w:p>
            <w:r>
              <w:rPr>
                <w:b w:val="false"/>
                <w:bCs w:val="false"/>
                <w:sz w:val="20"/>
                <w:szCs w:val="20"/>
              </w:rPr>
              <w:t xml:space="preserve">22</w:t>
            </w:r>
          </w:p>
        </w:tc>
        <w:tc>
          <w:tcPr>
            <w:tcW w:type="pct" w:w="11%"/>
            <w:tcBorders>
              <w:top w:val="single" w:sz="1"/>
              <w:left w:val="single" w:sz="1"/>
              <w:bottom w:val="single" w:sz="1"/>
              <w:right w:val="single" w:sz="1"/>
            </w:tcBorders>
          </w:tcPr>
          <w:p>
            <w:r>
              <w:rPr>
                <w:b w:val="false"/>
                <w:bCs w:val="false"/>
                <w:sz w:val="20"/>
                <w:szCs w:val="20"/>
              </w:rPr>
              <w:t xml:space="preserve">162</w:t>
            </w:r>
          </w:p>
        </w:tc>
        <w:tc>
          <w:tcPr>
            <w:tcW w:type="pct" w:w="11%"/>
            <w:tcBorders>
              <w:top w:val="single" w:sz="1"/>
              <w:left w:val="single" w:sz="1"/>
              <w:bottom w:val="single" w:sz="1"/>
              <w:right w:val="single" w:sz="1"/>
            </w:tcBorders>
          </w:tcPr>
          <w:p>
            <w:r>
              <w:rPr>
                <w:b w:val="false"/>
                <w:bCs w:val="false"/>
                <w:sz w:val="20"/>
                <w:szCs w:val="20"/>
              </w:rPr>
              <w:t xml:space="preserve">65</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NLO</w:t>
            </w:r>
          </w:p>
        </w:tc>
      </w:tr>
      <w:tr>
        <w:tc>
          <w:tcPr>
            <w:tcW w:type="pct" w:w="11%"/>
            <w:tcBorders>
              <w:top w:val="single" w:sz="1"/>
              <w:left w:val="single" w:sz="1"/>
              <w:bottom w:val="single" w:sz="1"/>
              <w:right w:val="single" w:sz="1"/>
            </w:tcBorders>
          </w:tcPr>
          <w:p>
            <w:r>
              <w:rPr>
                <w:b w:val="false"/>
                <w:bCs w:val="false"/>
                <w:sz w:val="20"/>
                <w:szCs w:val="20"/>
              </w:rPr>
              <w:t xml:space="preserve">7.</w:t>
            </w:r>
          </w:p>
        </w:tc>
        <w:tc>
          <w:tcPr>
            <w:tcW w:type="pct" w:w="11%"/>
            <w:tcBorders>
              <w:top w:val="single" w:sz="1"/>
              <w:left w:val="single" w:sz="1"/>
              <w:bottom w:val="single" w:sz="1"/>
              <w:right w:val="single" w:sz="1"/>
            </w:tcBorders>
          </w:tcPr>
          <w:p>
            <w:r>
              <w:rPr>
                <w:b w:val="false"/>
                <w:bCs w:val="false"/>
                <w:sz w:val="20"/>
                <w:szCs w:val="20"/>
              </w:rPr>
              <w:t xml:space="preserve">D-07</w:t>
            </w:r>
          </w:p>
        </w:tc>
        <w:tc>
          <w:tcPr>
            <w:tcW w:type="pct" w:w="11%"/>
            <w:tcBorders>
              <w:top w:val="single" w:sz="1"/>
              <w:left w:val="single" w:sz="1"/>
              <w:bottom w:val="single" w:sz="1"/>
              <w:right w:val="single" w:sz="1"/>
            </w:tcBorders>
          </w:tcPr>
          <w:p>
            <w:r>
              <w:rPr>
                <w:b w:val="false"/>
                <w:bCs w:val="false"/>
                <w:sz w:val="20"/>
                <w:szCs w:val="20"/>
              </w:rPr>
              <w:t xml:space="preserve">KEB</w:t>
            </w:r>
          </w:p>
        </w:tc>
        <w:tc>
          <w:tcPr>
            <w:tcW w:type="pct" w:w="11%"/>
            <w:tcBorders>
              <w:top w:val="single" w:sz="1"/>
              <w:left w:val="single" w:sz="1"/>
              <w:bottom w:val="single" w:sz="1"/>
              <w:right w:val="single" w:sz="1"/>
            </w:tcBorders>
          </w:tcPr>
          <w:p>
            <w:r>
              <w:rPr>
                <w:b w:val="false"/>
                <w:bCs w:val="false"/>
                <w:sz w:val="20"/>
                <w:szCs w:val="20"/>
              </w:rPr>
              <w:t xml:space="preserve">female</w:t>
            </w:r>
          </w:p>
        </w:tc>
        <w:tc>
          <w:tcPr>
            <w:tcW w:type="pct" w:w="11%"/>
            <w:tcBorders>
              <w:top w:val="single" w:sz="1"/>
              <w:left w:val="single" w:sz="1"/>
              <w:bottom w:val="single" w:sz="1"/>
              <w:right w:val="single" w:sz="1"/>
            </w:tcBorders>
          </w:tcPr>
          <w:p>
            <w:r>
              <w:rPr>
                <w:b w:val="false"/>
                <w:bCs w:val="false"/>
                <w:sz w:val="20"/>
                <w:szCs w:val="20"/>
              </w:rPr>
              <w:t xml:space="preserve">28</w:t>
            </w:r>
          </w:p>
        </w:tc>
        <w:tc>
          <w:tcPr>
            <w:tcW w:type="pct" w:w="11%"/>
            <w:tcBorders>
              <w:top w:val="single" w:sz="1"/>
              <w:left w:val="single" w:sz="1"/>
              <w:bottom w:val="single" w:sz="1"/>
              <w:right w:val="single" w:sz="1"/>
            </w:tcBorders>
          </w:tcPr>
          <w:p>
            <w:r>
              <w:rPr>
                <w:b w:val="false"/>
                <w:bCs w:val="false"/>
                <w:sz w:val="20"/>
                <w:szCs w:val="20"/>
              </w:rPr>
              <w:t xml:space="preserve">163</w:t>
            </w:r>
          </w:p>
        </w:tc>
        <w:tc>
          <w:tcPr>
            <w:tcW w:type="pct" w:w="11%"/>
            <w:tcBorders>
              <w:top w:val="single" w:sz="1"/>
              <w:left w:val="single" w:sz="1"/>
              <w:bottom w:val="single" w:sz="1"/>
              <w:right w:val="single" w:sz="1"/>
            </w:tcBorders>
          </w:tcPr>
          <w:p>
            <w:r>
              <w:rPr>
                <w:b w:val="false"/>
                <w:bCs w:val="false"/>
                <w:sz w:val="20"/>
                <w:szCs w:val="20"/>
              </w:rPr>
              <w:t xml:space="preserve">64</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10.4</w:t>
            </w:r>
          </w:p>
        </w:tc>
      </w:tr>
      <w:tr>
        <w:tc>
          <w:tcPr>
            <w:tcW w:type="pct" w:w="11%"/>
            <w:tcBorders>
              <w:top w:val="single" w:sz="1"/>
              <w:left w:val="single" w:sz="1"/>
              <w:bottom w:val="single" w:sz="1"/>
              <w:right w:val="single" w:sz="1"/>
            </w:tcBorders>
          </w:tcPr>
          <w:p>
            <w:r>
              <w:rPr>
                <w:b w:val="false"/>
                <w:bCs w:val="false"/>
                <w:sz w:val="20"/>
                <w:szCs w:val="20"/>
              </w:rPr>
              <w:t xml:space="preserve">8.</w:t>
            </w:r>
          </w:p>
        </w:tc>
        <w:tc>
          <w:tcPr>
            <w:tcW w:type="pct" w:w="11%"/>
            <w:tcBorders>
              <w:top w:val="single" w:sz="1"/>
              <w:left w:val="single" w:sz="1"/>
              <w:bottom w:val="single" w:sz="1"/>
              <w:right w:val="single" w:sz="1"/>
            </w:tcBorders>
          </w:tcPr>
          <w:p>
            <w:r>
              <w:rPr>
                <w:b w:val="false"/>
                <w:bCs w:val="false"/>
                <w:sz w:val="20"/>
                <w:szCs w:val="20"/>
              </w:rPr>
              <w:t xml:space="preserve">D-08</w:t>
            </w:r>
          </w:p>
        </w:tc>
        <w:tc>
          <w:tcPr>
            <w:tcW w:type="pct" w:w="11%"/>
            <w:tcBorders>
              <w:top w:val="single" w:sz="1"/>
              <w:left w:val="single" w:sz="1"/>
              <w:bottom w:val="single" w:sz="1"/>
              <w:right w:val="single" w:sz="1"/>
            </w:tcBorders>
          </w:tcPr>
          <w:p>
            <w:r>
              <w:rPr>
                <w:b w:val="false"/>
                <w:bCs w:val="false"/>
                <w:sz w:val="20"/>
                <w:szCs w:val="20"/>
              </w:rPr>
              <w:t xml:space="preserve">LDN</w:t>
            </w:r>
          </w:p>
        </w:tc>
        <w:tc>
          <w:tcPr>
            <w:tcW w:type="pct" w:w="11%"/>
            <w:tcBorders>
              <w:top w:val="single" w:sz="1"/>
              <w:left w:val="single" w:sz="1"/>
              <w:bottom w:val="single" w:sz="1"/>
              <w:right w:val="single" w:sz="1"/>
            </w:tcBorders>
          </w:tcPr>
          <w:p>
            <w:r>
              <w:rPr>
                <w:b w:val="false"/>
                <w:bCs w:val="false"/>
                <w:sz w:val="20"/>
                <w:szCs w:val="20"/>
              </w:rPr>
              <w:t xml:space="preserve">female</w:t>
            </w:r>
          </w:p>
        </w:tc>
        <w:tc>
          <w:tcPr>
            <w:tcW w:type="pct" w:w="11%"/>
            <w:tcBorders>
              <w:top w:val="single" w:sz="1"/>
              <w:left w:val="single" w:sz="1"/>
              <w:bottom w:val="single" w:sz="1"/>
              <w:right w:val="single" w:sz="1"/>
            </w:tcBorders>
          </w:tcPr>
          <w:p>
            <w:r>
              <w:rPr>
                <w:b w:val="false"/>
                <w:bCs w:val="false"/>
                <w:sz w:val="20"/>
                <w:szCs w:val="20"/>
              </w:rPr>
              <w:t xml:space="preserve">22</w:t>
            </w:r>
          </w:p>
        </w:tc>
        <w:tc>
          <w:tcPr>
            <w:tcW w:type="pct" w:w="11%"/>
            <w:tcBorders>
              <w:top w:val="single" w:sz="1"/>
              <w:left w:val="single" w:sz="1"/>
              <w:bottom w:val="single" w:sz="1"/>
              <w:right w:val="single" w:sz="1"/>
            </w:tcBorders>
          </w:tcPr>
          <w:p>
            <w:r>
              <w:rPr>
                <w:b w:val="false"/>
                <w:bCs w:val="false"/>
                <w:sz w:val="20"/>
                <w:szCs w:val="20"/>
              </w:rPr>
              <w:t xml:space="preserve">179</w:t>
            </w:r>
          </w:p>
        </w:tc>
        <w:tc>
          <w:tcPr>
            <w:tcW w:type="pct" w:w="11%"/>
            <w:tcBorders>
              <w:top w:val="single" w:sz="1"/>
              <w:left w:val="single" w:sz="1"/>
              <w:bottom w:val="single" w:sz="1"/>
              <w:right w:val="single" w:sz="1"/>
            </w:tcBorders>
          </w:tcPr>
          <w:p>
            <w:r>
              <w:rPr>
                <w:b w:val="false"/>
                <w:bCs w:val="false"/>
                <w:sz w:val="20"/>
                <w:szCs w:val="20"/>
              </w:rPr>
              <w:t xml:space="preserve">69</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26</w:t>
            </w:r>
          </w:p>
        </w:tc>
      </w:tr>
      <w:tr>
        <w:tc>
          <w:tcPr>
            <w:tcW w:type="pct" w:w="11%"/>
            <w:tcBorders>
              <w:top w:val="single" w:sz="1"/>
              <w:left w:val="single" w:sz="1"/>
              <w:bottom w:val="single" w:sz="1"/>
              <w:right w:val="single" w:sz="1"/>
            </w:tcBorders>
          </w:tcPr>
          <w:p>
            <w:r>
              <w:rPr>
                <w:b w:val="false"/>
                <w:bCs w:val="false"/>
                <w:sz w:val="20"/>
                <w:szCs w:val="20"/>
              </w:rPr>
              <w:t xml:space="preserve">9.</w:t>
            </w:r>
          </w:p>
        </w:tc>
        <w:tc>
          <w:tcPr>
            <w:tcW w:type="pct" w:w="11%"/>
            <w:tcBorders>
              <w:top w:val="single" w:sz="1"/>
              <w:left w:val="single" w:sz="1"/>
              <w:bottom w:val="single" w:sz="1"/>
              <w:right w:val="single" w:sz="1"/>
            </w:tcBorders>
          </w:tcPr>
          <w:p>
            <w:r>
              <w:rPr>
                <w:b w:val="false"/>
                <w:bCs w:val="false"/>
                <w:sz w:val="20"/>
                <w:szCs w:val="20"/>
              </w:rPr>
              <w:t xml:space="preserve">D-09</w:t>
            </w:r>
          </w:p>
        </w:tc>
        <w:tc>
          <w:tcPr>
            <w:tcW w:type="pct" w:w="11%"/>
            <w:tcBorders>
              <w:top w:val="single" w:sz="1"/>
              <w:left w:val="single" w:sz="1"/>
              <w:bottom w:val="single" w:sz="1"/>
              <w:right w:val="single" w:sz="1"/>
            </w:tcBorders>
          </w:tcPr>
          <w:p>
            <w:r>
              <w:rPr>
                <w:b w:val="false"/>
                <w:bCs w:val="false"/>
                <w:sz w:val="20"/>
                <w:szCs w:val="20"/>
              </w:rPr>
              <w:t xml:space="preserve">ZPA</w:t>
            </w:r>
          </w:p>
        </w:tc>
        <w:tc>
          <w:tcPr>
            <w:tcW w:type="pct" w:w="11%"/>
            <w:tcBorders>
              <w:top w:val="single" w:sz="1"/>
              <w:left w:val="single" w:sz="1"/>
              <w:bottom w:val="single" w:sz="1"/>
              <w:right w:val="single" w:sz="1"/>
            </w:tcBorders>
          </w:tcPr>
          <w:p>
            <w:r>
              <w:rPr>
                <w:b w:val="false"/>
                <w:bCs w:val="false"/>
                <w:sz w:val="20"/>
                <w:szCs w:val="20"/>
              </w:rPr>
              <w:t xml:space="preserve">male</w:t>
            </w:r>
          </w:p>
        </w:tc>
        <w:tc>
          <w:tcPr>
            <w:tcW w:type="pct" w:w="11%"/>
            <w:tcBorders>
              <w:top w:val="single" w:sz="1"/>
              <w:left w:val="single" w:sz="1"/>
              <w:bottom w:val="single" w:sz="1"/>
              <w:right w:val="single" w:sz="1"/>
            </w:tcBorders>
          </w:tcPr>
          <w:p>
            <w:r>
              <w:rPr>
                <w:b w:val="false"/>
                <w:bCs w:val="false"/>
                <w:sz w:val="20"/>
                <w:szCs w:val="20"/>
              </w:rPr>
              <w:t xml:space="preserve">34</w:t>
            </w:r>
          </w:p>
        </w:tc>
        <w:tc>
          <w:tcPr>
            <w:tcW w:type="pct" w:w="11%"/>
            <w:tcBorders>
              <w:top w:val="single" w:sz="1"/>
              <w:left w:val="single" w:sz="1"/>
              <w:bottom w:val="single" w:sz="1"/>
              <w:right w:val="single" w:sz="1"/>
            </w:tcBorders>
          </w:tcPr>
          <w:p>
            <w:r>
              <w:rPr>
                <w:b w:val="false"/>
                <w:bCs w:val="false"/>
                <w:sz w:val="20"/>
                <w:szCs w:val="20"/>
              </w:rPr>
              <w:t xml:space="preserve">182</w:t>
            </w:r>
          </w:p>
        </w:tc>
        <w:tc>
          <w:tcPr>
            <w:tcW w:type="pct" w:w="11%"/>
            <w:tcBorders>
              <w:top w:val="single" w:sz="1"/>
              <w:left w:val="single" w:sz="1"/>
              <w:bottom w:val="single" w:sz="1"/>
              <w:right w:val="single" w:sz="1"/>
            </w:tcBorders>
          </w:tcPr>
          <w:p>
            <w:r>
              <w:rPr>
                <w:b w:val="false"/>
                <w:bCs w:val="false"/>
                <w:sz w:val="20"/>
                <w:szCs w:val="20"/>
              </w:rPr>
              <w:t xml:space="preserve">84</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11</w:t>
            </w:r>
          </w:p>
        </w:tc>
      </w:tr>
      <w:tr>
        <w:tc>
          <w:tcPr>
            <w:tcW w:type="pct" w:w="11%"/>
            <w:tcBorders>
              <w:top w:val="single" w:sz="1"/>
              <w:left w:val="single" w:sz="1"/>
              <w:bottom w:val="single" w:sz="1"/>
              <w:right w:val="single" w:sz="1"/>
            </w:tcBorders>
          </w:tcPr>
          <w:p>
            <w:r>
              <w:rPr>
                <w:b w:val="false"/>
                <w:bCs w:val="false"/>
                <w:sz w:val="20"/>
                <w:szCs w:val="20"/>
              </w:rPr>
              <w:t xml:space="preserve">10.</w:t>
            </w:r>
          </w:p>
        </w:tc>
        <w:tc>
          <w:tcPr>
            <w:tcW w:type="pct" w:w="11%"/>
            <w:tcBorders>
              <w:top w:val="single" w:sz="1"/>
              <w:left w:val="single" w:sz="1"/>
              <w:bottom w:val="single" w:sz="1"/>
              <w:right w:val="single" w:sz="1"/>
            </w:tcBorders>
          </w:tcPr>
          <w:p>
            <w:r>
              <w:rPr>
                <w:b w:val="false"/>
                <w:bCs w:val="false"/>
                <w:sz w:val="20"/>
                <w:szCs w:val="20"/>
              </w:rPr>
              <w:t xml:space="preserve">D-10</w:t>
            </w:r>
          </w:p>
        </w:tc>
        <w:tc>
          <w:tcPr>
            <w:tcW w:type="pct" w:w="11%"/>
            <w:tcBorders>
              <w:top w:val="single" w:sz="1"/>
              <w:left w:val="single" w:sz="1"/>
              <w:bottom w:val="single" w:sz="1"/>
              <w:right w:val="single" w:sz="1"/>
            </w:tcBorders>
          </w:tcPr>
          <w:p>
            <w:r>
              <w:rPr>
                <w:b w:val="false"/>
                <w:bCs w:val="false"/>
                <w:sz w:val="20"/>
                <w:szCs w:val="20"/>
              </w:rPr>
              <w:t xml:space="preserve">PDB</w:t>
            </w:r>
          </w:p>
        </w:tc>
        <w:tc>
          <w:tcPr>
            <w:tcW w:type="pct" w:w="11%"/>
            <w:tcBorders>
              <w:top w:val="single" w:sz="1"/>
              <w:left w:val="single" w:sz="1"/>
              <w:bottom w:val="single" w:sz="1"/>
              <w:right w:val="single" w:sz="1"/>
            </w:tcBorders>
          </w:tcPr>
          <w:p>
            <w:r>
              <w:rPr>
                <w:b w:val="false"/>
                <w:bCs w:val="false"/>
                <w:sz w:val="20"/>
                <w:szCs w:val="20"/>
              </w:rPr>
              <w:t xml:space="preserve">male</w:t>
            </w:r>
          </w:p>
        </w:tc>
        <w:tc>
          <w:tcPr>
            <w:tcW w:type="pct" w:w="11%"/>
            <w:tcBorders>
              <w:top w:val="single" w:sz="1"/>
              <w:left w:val="single" w:sz="1"/>
              <w:bottom w:val="single" w:sz="1"/>
              <w:right w:val="single" w:sz="1"/>
            </w:tcBorders>
          </w:tcPr>
          <w:p>
            <w:r>
              <w:rPr>
                <w:b w:val="false"/>
                <w:bCs w:val="false"/>
                <w:sz w:val="20"/>
                <w:szCs w:val="20"/>
              </w:rPr>
              <w:t xml:space="preserve">21</w:t>
            </w:r>
          </w:p>
        </w:tc>
        <w:tc>
          <w:tcPr>
            <w:tcW w:type="pct" w:w="11%"/>
            <w:tcBorders>
              <w:top w:val="single" w:sz="1"/>
              <w:left w:val="single" w:sz="1"/>
              <w:bottom w:val="single" w:sz="1"/>
              <w:right w:val="single" w:sz="1"/>
            </w:tcBorders>
          </w:tcPr>
          <w:p>
            <w:r>
              <w:rPr>
                <w:b w:val="false"/>
                <w:bCs w:val="false"/>
                <w:sz w:val="20"/>
                <w:szCs w:val="20"/>
              </w:rPr>
              <w:t xml:space="preserve">170</w:t>
            </w:r>
          </w:p>
        </w:tc>
        <w:tc>
          <w:tcPr>
            <w:tcW w:type="pct" w:w="11%"/>
            <w:tcBorders>
              <w:top w:val="single" w:sz="1"/>
              <w:left w:val="single" w:sz="1"/>
              <w:bottom w:val="single" w:sz="1"/>
              <w:right w:val="single" w:sz="1"/>
            </w:tcBorders>
          </w:tcPr>
          <w:p>
            <w:r>
              <w:rPr>
                <w:b w:val="false"/>
                <w:bCs w:val="false"/>
                <w:sz w:val="20"/>
                <w:szCs w:val="20"/>
              </w:rPr>
              <w:t xml:space="preserve">69</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NLO</w:t>
            </w:r>
          </w:p>
        </w:tc>
      </w:tr>
      <w:tr>
        <w:tc>
          <w:tcPr>
            <w:tcW w:type="pct" w:w="11%"/>
            <w:tcBorders>
              <w:top w:val="single" w:sz="1"/>
              <w:left w:val="single" w:sz="1"/>
              <w:bottom w:val="single" w:sz="1"/>
              <w:right w:val="single" w:sz="1"/>
            </w:tcBorders>
          </w:tcPr>
          <w:p>
            <w:r>
              <w:rPr>
                <w:b w:val="false"/>
                <w:bCs w:val="false"/>
                <w:sz w:val="20"/>
                <w:szCs w:val="20"/>
              </w:rPr>
              <w:t xml:space="preserve">11.</w:t>
            </w:r>
          </w:p>
        </w:tc>
        <w:tc>
          <w:tcPr>
            <w:tcW w:type="pct" w:w="11%"/>
            <w:tcBorders>
              <w:top w:val="single" w:sz="1"/>
              <w:left w:val="single" w:sz="1"/>
              <w:bottom w:val="single" w:sz="1"/>
              <w:right w:val="single" w:sz="1"/>
            </w:tcBorders>
          </w:tcPr>
          <w:p>
            <w:r>
              <w:rPr>
                <w:b w:val="false"/>
                <w:bCs w:val="false"/>
                <w:sz w:val="20"/>
                <w:szCs w:val="20"/>
              </w:rPr>
              <w:t xml:space="preserve">D-11</w:t>
            </w:r>
          </w:p>
        </w:tc>
        <w:tc>
          <w:tcPr>
            <w:tcW w:type="pct" w:w="11%"/>
            <w:tcBorders>
              <w:top w:val="single" w:sz="1"/>
              <w:left w:val="single" w:sz="1"/>
              <w:bottom w:val="single" w:sz="1"/>
              <w:right w:val="single" w:sz="1"/>
            </w:tcBorders>
          </w:tcPr>
          <w:p>
            <w:r>
              <w:rPr>
                <w:b w:val="false"/>
                <w:bCs w:val="false"/>
                <w:sz w:val="20"/>
                <w:szCs w:val="20"/>
              </w:rPr>
              <w:t xml:space="preserve">SJS</w:t>
            </w:r>
          </w:p>
        </w:tc>
        <w:tc>
          <w:tcPr>
            <w:tcW w:type="pct" w:w="11%"/>
            <w:tcBorders>
              <w:top w:val="single" w:sz="1"/>
              <w:left w:val="single" w:sz="1"/>
              <w:bottom w:val="single" w:sz="1"/>
              <w:right w:val="single" w:sz="1"/>
            </w:tcBorders>
          </w:tcPr>
          <w:p>
            <w:r>
              <w:rPr>
                <w:b w:val="false"/>
                <w:bCs w:val="false"/>
                <w:sz w:val="20"/>
                <w:szCs w:val="20"/>
              </w:rPr>
              <w:t xml:space="preserve">male</w:t>
            </w:r>
          </w:p>
        </w:tc>
        <w:tc>
          <w:tcPr>
            <w:tcW w:type="pct" w:w="11%"/>
            <w:tcBorders>
              <w:top w:val="single" w:sz="1"/>
              <w:left w:val="single" w:sz="1"/>
              <w:bottom w:val="single" w:sz="1"/>
              <w:right w:val="single" w:sz="1"/>
            </w:tcBorders>
          </w:tcPr>
          <w:p>
            <w:r>
              <w:rPr>
                <w:b w:val="false"/>
                <w:bCs w:val="false"/>
                <w:sz w:val="20"/>
                <w:szCs w:val="20"/>
              </w:rPr>
              <w:t xml:space="preserve">20</w:t>
            </w:r>
          </w:p>
        </w:tc>
        <w:tc>
          <w:tcPr>
            <w:tcW w:type="pct" w:w="11%"/>
            <w:tcBorders>
              <w:top w:val="single" w:sz="1"/>
              <w:left w:val="single" w:sz="1"/>
              <w:bottom w:val="single" w:sz="1"/>
              <w:right w:val="single" w:sz="1"/>
            </w:tcBorders>
          </w:tcPr>
          <w:p>
            <w:r>
              <w:rPr>
                <w:b w:val="false"/>
                <w:bCs w:val="false"/>
                <w:sz w:val="20"/>
                <w:szCs w:val="20"/>
              </w:rPr>
              <w:t xml:space="preserve">170</w:t>
            </w:r>
          </w:p>
        </w:tc>
        <w:tc>
          <w:tcPr>
            <w:tcW w:type="pct" w:w="11%"/>
            <w:tcBorders>
              <w:top w:val="single" w:sz="1"/>
              <w:left w:val="single" w:sz="1"/>
              <w:bottom w:val="single" w:sz="1"/>
              <w:right w:val="single" w:sz="1"/>
            </w:tcBorders>
          </w:tcPr>
          <w:p>
            <w:r>
              <w:rPr>
                <w:b w:val="false"/>
                <w:bCs w:val="false"/>
                <w:sz w:val="20"/>
                <w:szCs w:val="20"/>
              </w:rPr>
              <w:t xml:space="preserve">61</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9.8</w:t>
            </w:r>
          </w:p>
        </w:tc>
      </w:tr>
      <w:tr>
        <w:tc>
          <w:tcPr>
            <w:tcW w:type="pct" w:w="11%"/>
            <w:tcBorders>
              <w:top w:val="single" w:sz="1"/>
              <w:left w:val="single" w:sz="1"/>
              <w:bottom w:val="single" w:sz="1"/>
              <w:right w:val="single" w:sz="1"/>
            </w:tcBorders>
          </w:tcPr>
          <w:p>
            <w:r>
              <w:rPr>
                <w:b w:val="false"/>
                <w:bCs w:val="false"/>
                <w:sz w:val="20"/>
                <w:szCs w:val="20"/>
              </w:rPr>
              <w:t xml:space="preserve">12.</w:t>
            </w:r>
          </w:p>
        </w:tc>
        <w:tc>
          <w:tcPr>
            <w:tcW w:type="pct" w:w="11%"/>
            <w:tcBorders>
              <w:top w:val="single" w:sz="1"/>
              <w:left w:val="single" w:sz="1"/>
              <w:bottom w:val="single" w:sz="1"/>
              <w:right w:val="single" w:sz="1"/>
            </w:tcBorders>
          </w:tcPr>
          <w:p>
            <w:r>
              <w:rPr>
                <w:b w:val="false"/>
                <w:bCs w:val="false"/>
                <w:sz w:val="20"/>
                <w:szCs w:val="20"/>
              </w:rPr>
              <w:t xml:space="preserve">D-12</w:t>
            </w:r>
          </w:p>
        </w:tc>
        <w:tc>
          <w:tcPr>
            <w:tcW w:type="pct" w:w="11%"/>
            <w:tcBorders>
              <w:top w:val="single" w:sz="1"/>
              <w:left w:val="single" w:sz="1"/>
              <w:bottom w:val="single" w:sz="1"/>
              <w:right w:val="single" w:sz="1"/>
            </w:tcBorders>
          </w:tcPr>
          <w:p>
            <w:r>
              <w:rPr>
                <w:b w:val="false"/>
                <w:bCs w:val="false"/>
                <w:sz w:val="20"/>
                <w:szCs w:val="20"/>
              </w:rPr>
              <w:t xml:space="preserve">ACS</w:t>
            </w:r>
          </w:p>
        </w:tc>
        <w:tc>
          <w:tcPr>
            <w:tcW w:type="pct" w:w="11%"/>
            <w:tcBorders>
              <w:top w:val="single" w:sz="1"/>
              <w:left w:val="single" w:sz="1"/>
              <w:bottom w:val="single" w:sz="1"/>
              <w:right w:val="single" w:sz="1"/>
            </w:tcBorders>
          </w:tcPr>
          <w:p>
            <w:r>
              <w:rPr>
                <w:b w:val="false"/>
                <w:bCs w:val="false"/>
                <w:sz w:val="20"/>
                <w:szCs w:val="20"/>
              </w:rPr>
              <w:t xml:space="preserve">female</w:t>
            </w:r>
          </w:p>
        </w:tc>
        <w:tc>
          <w:tcPr>
            <w:tcW w:type="pct" w:w="11%"/>
            <w:tcBorders>
              <w:top w:val="single" w:sz="1"/>
              <w:left w:val="single" w:sz="1"/>
              <w:bottom w:val="single" w:sz="1"/>
              <w:right w:val="single" w:sz="1"/>
            </w:tcBorders>
          </w:tcPr>
          <w:p>
            <w:r>
              <w:rPr>
                <w:b w:val="false"/>
                <w:bCs w:val="false"/>
                <w:sz w:val="20"/>
                <w:szCs w:val="20"/>
              </w:rPr>
              <w:t xml:space="preserve">19</w:t>
            </w:r>
          </w:p>
        </w:tc>
        <w:tc>
          <w:tcPr>
            <w:tcW w:type="pct" w:w="11%"/>
            <w:tcBorders>
              <w:top w:val="single" w:sz="1"/>
              <w:left w:val="single" w:sz="1"/>
              <w:bottom w:val="single" w:sz="1"/>
              <w:right w:val="single" w:sz="1"/>
            </w:tcBorders>
          </w:tcPr>
          <w:p>
            <w:r>
              <w:rPr>
                <w:b w:val="false"/>
                <w:bCs w:val="false"/>
                <w:sz w:val="20"/>
                <w:szCs w:val="20"/>
              </w:rPr>
              <w:t xml:space="preserve">168</w:t>
            </w:r>
          </w:p>
        </w:tc>
        <w:tc>
          <w:tcPr>
            <w:tcW w:type="pct" w:w="11%"/>
            <w:tcBorders>
              <w:top w:val="single" w:sz="1"/>
              <w:left w:val="single" w:sz="1"/>
              <w:bottom w:val="single" w:sz="1"/>
              <w:right w:val="single" w:sz="1"/>
            </w:tcBorders>
          </w:tcPr>
          <w:p>
            <w:r>
              <w:rPr>
                <w:b w:val="false"/>
                <w:bCs w:val="false"/>
                <w:sz w:val="20"/>
                <w:szCs w:val="20"/>
              </w:rPr>
              <w:t xml:space="preserve">58</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NLO</w:t>
            </w:r>
          </w:p>
        </w:tc>
      </w:tr>
      <w:tr>
        <w:tc>
          <w:tcPr>
            <w:tcW w:type="pct" w:w="11%"/>
            <w:tcBorders>
              <w:top w:val="single" w:sz="1"/>
              <w:left w:val="single" w:sz="1"/>
              <w:bottom w:val="single" w:sz="1"/>
              <w:right w:val="single" w:sz="1"/>
            </w:tcBorders>
          </w:tcPr>
          <w:p>
            <w:r>
              <w:rPr>
                <w:b w:val="false"/>
                <w:bCs w:val="false"/>
                <w:sz w:val="20"/>
                <w:szCs w:val="20"/>
              </w:rPr>
              <w:t xml:space="preserve">13.</w:t>
            </w:r>
          </w:p>
        </w:tc>
        <w:tc>
          <w:tcPr>
            <w:tcW w:type="pct" w:w="11%"/>
            <w:tcBorders>
              <w:top w:val="single" w:sz="1"/>
              <w:left w:val="single" w:sz="1"/>
              <w:bottom w:val="single" w:sz="1"/>
              <w:right w:val="single" w:sz="1"/>
            </w:tcBorders>
          </w:tcPr>
          <w:p>
            <w:r>
              <w:rPr>
                <w:b w:val="false"/>
                <w:bCs w:val="false"/>
                <w:sz w:val="20"/>
                <w:szCs w:val="20"/>
              </w:rPr>
              <w:t xml:space="preserve">D-13</w:t>
            </w:r>
          </w:p>
        </w:tc>
        <w:tc>
          <w:tcPr>
            <w:tcW w:type="pct" w:w="11%"/>
            <w:tcBorders>
              <w:top w:val="single" w:sz="1"/>
              <w:left w:val="single" w:sz="1"/>
              <w:bottom w:val="single" w:sz="1"/>
              <w:right w:val="single" w:sz="1"/>
            </w:tcBorders>
          </w:tcPr>
          <w:p>
            <w:r>
              <w:rPr>
                <w:b w:val="false"/>
                <w:bCs w:val="false"/>
                <w:sz w:val="20"/>
                <w:szCs w:val="20"/>
              </w:rPr>
              <w:t xml:space="preserve">MIA</w:t>
            </w:r>
          </w:p>
        </w:tc>
        <w:tc>
          <w:tcPr>
            <w:tcW w:type="pct" w:w="11%"/>
            <w:tcBorders>
              <w:top w:val="single" w:sz="1"/>
              <w:left w:val="single" w:sz="1"/>
              <w:bottom w:val="single" w:sz="1"/>
              <w:right w:val="single" w:sz="1"/>
            </w:tcBorders>
          </w:tcPr>
          <w:p>
            <w:r>
              <w:rPr>
                <w:b w:val="false"/>
                <w:bCs w:val="false"/>
                <w:sz w:val="20"/>
                <w:szCs w:val="20"/>
              </w:rPr>
              <w:t xml:space="preserve">male</w:t>
            </w:r>
          </w:p>
        </w:tc>
        <w:tc>
          <w:tcPr>
            <w:tcW w:type="pct" w:w="11%"/>
            <w:tcBorders>
              <w:top w:val="single" w:sz="1"/>
              <w:left w:val="single" w:sz="1"/>
              <w:bottom w:val="single" w:sz="1"/>
              <w:right w:val="single" w:sz="1"/>
            </w:tcBorders>
          </w:tcPr>
          <w:p>
            <w:r>
              <w:rPr>
                <w:b w:val="false"/>
                <w:bCs w:val="false"/>
                <w:sz w:val="20"/>
                <w:szCs w:val="20"/>
              </w:rPr>
              <w:t xml:space="preserve">29</w:t>
            </w:r>
          </w:p>
        </w:tc>
        <w:tc>
          <w:tcPr>
            <w:tcW w:type="pct" w:w="11%"/>
            <w:tcBorders>
              <w:top w:val="single" w:sz="1"/>
              <w:left w:val="single" w:sz="1"/>
              <w:bottom w:val="single" w:sz="1"/>
              <w:right w:val="single" w:sz="1"/>
            </w:tcBorders>
          </w:tcPr>
          <w:p>
            <w:r>
              <w:rPr>
                <w:b w:val="false"/>
                <w:bCs w:val="false"/>
                <w:sz w:val="20"/>
                <w:szCs w:val="20"/>
              </w:rPr>
              <w:t xml:space="preserve">178</w:t>
            </w:r>
          </w:p>
        </w:tc>
        <w:tc>
          <w:tcPr>
            <w:tcW w:type="pct" w:w="11%"/>
            <w:tcBorders>
              <w:top w:val="single" w:sz="1"/>
              <w:left w:val="single" w:sz="1"/>
              <w:bottom w:val="single" w:sz="1"/>
              <w:right w:val="single" w:sz="1"/>
            </w:tcBorders>
          </w:tcPr>
          <w:p>
            <w:r>
              <w:rPr>
                <w:b w:val="false"/>
                <w:bCs w:val="false"/>
                <w:sz w:val="20"/>
                <w:szCs w:val="20"/>
              </w:rPr>
              <w:t xml:space="preserve">80</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NLO</w:t>
            </w:r>
          </w:p>
        </w:tc>
      </w:tr>
      <w:tr>
        <w:tc>
          <w:tcPr>
            <w:tcW w:type="pct" w:w="11%"/>
            <w:tcBorders>
              <w:top w:val="single" w:sz="1"/>
              <w:left w:val="single" w:sz="1"/>
              <w:bottom w:val="single" w:sz="1"/>
              <w:right w:val="single" w:sz="1"/>
            </w:tcBorders>
          </w:tcPr>
          <w:p>
            <w:r>
              <w:rPr>
                <w:b w:val="false"/>
                <w:bCs w:val="false"/>
                <w:sz w:val="20"/>
                <w:szCs w:val="20"/>
              </w:rPr>
              <w:t xml:space="preserve">14.</w:t>
            </w:r>
          </w:p>
        </w:tc>
        <w:tc>
          <w:tcPr>
            <w:tcW w:type="pct" w:w="11%"/>
            <w:tcBorders>
              <w:top w:val="single" w:sz="1"/>
              <w:left w:val="single" w:sz="1"/>
              <w:bottom w:val="single" w:sz="1"/>
              <w:right w:val="single" w:sz="1"/>
            </w:tcBorders>
          </w:tcPr>
          <w:p>
            <w:r>
              <w:rPr>
                <w:b w:val="false"/>
                <w:bCs w:val="false"/>
                <w:sz w:val="20"/>
                <w:szCs w:val="20"/>
              </w:rPr>
              <w:t xml:space="preserve">D-14</w:t>
            </w:r>
          </w:p>
        </w:tc>
        <w:tc>
          <w:tcPr>
            <w:tcW w:type="pct" w:w="11%"/>
            <w:tcBorders>
              <w:top w:val="single" w:sz="1"/>
              <w:left w:val="single" w:sz="1"/>
              <w:bottom w:val="single" w:sz="1"/>
              <w:right w:val="single" w:sz="1"/>
            </w:tcBorders>
          </w:tcPr>
          <w:p>
            <w:r>
              <w:rPr>
                <w:b w:val="false"/>
                <w:bCs w:val="false"/>
                <w:sz w:val="20"/>
                <w:szCs w:val="20"/>
              </w:rPr>
              <w:t xml:space="preserve">POB</w:t>
            </w:r>
          </w:p>
        </w:tc>
        <w:tc>
          <w:tcPr>
            <w:tcW w:type="pct" w:w="11%"/>
            <w:tcBorders>
              <w:top w:val="single" w:sz="1"/>
              <w:left w:val="single" w:sz="1"/>
              <w:bottom w:val="single" w:sz="1"/>
              <w:right w:val="single" w:sz="1"/>
            </w:tcBorders>
          </w:tcPr>
          <w:p>
            <w:r>
              <w:rPr>
                <w:b w:val="false"/>
                <w:bCs w:val="false"/>
                <w:sz w:val="20"/>
                <w:szCs w:val="20"/>
              </w:rPr>
              <w:t xml:space="preserve">female</w:t>
            </w:r>
          </w:p>
        </w:tc>
        <w:tc>
          <w:tcPr>
            <w:tcW w:type="pct" w:w="11%"/>
            <w:tcBorders>
              <w:top w:val="single" w:sz="1"/>
              <w:left w:val="single" w:sz="1"/>
              <w:bottom w:val="single" w:sz="1"/>
              <w:right w:val="single" w:sz="1"/>
            </w:tcBorders>
          </w:tcPr>
          <w:p>
            <w:r>
              <w:rPr>
                <w:b w:val="false"/>
                <w:bCs w:val="false"/>
                <w:sz w:val="20"/>
                <w:szCs w:val="20"/>
              </w:rPr>
              <w:t xml:space="preserve">25</w:t>
            </w:r>
          </w:p>
        </w:tc>
        <w:tc>
          <w:tcPr>
            <w:tcW w:type="pct" w:w="11%"/>
            <w:tcBorders>
              <w:top w:val="single" w:sz="1"/>
              <w:left w:val="single" w:sz="1"/>
              <w:bottom w:val="single" w:sz="1"/>
              <w:right w:val="single" w:sz="1"/>
            </w:tcBorders>
          </w:tcPr>
          <w:p>
            <w:r>
              <w:rPr>
                <w:b w:val="false"/>
                <w:bCs w:val="false"/>
                <w:sz w:val="20"/>
                <w:szCs w:val="20"/>
              </w:rPr>
              <w:t xml:space="preserve">164</w:t>
            </w:r>
          </w:p>
        </w:tc>
        <w:tc>
          <w:tcPr>
            <w:tcW w:type="pct" w:w="11%"/>
            <w:tcBorders>
              <w:top w:val="single" w:sz="1"/>
              <w:left w:val="single" w:sz="1"/>
              <w:bottom w:val="single" w:sz="1"/>
              <w:right w:val="single" w:sz="1"/>
            </w:tcBorders>
          </w:tcPr>
          <w:p>
            <w:r>
              <w:rPr>
                <w:b w:val="false"/>
                <w:bCs w:val="false"/>
                <w:sz w:val="20"/>
                <w:szCs w:val="20"/>
              </w:rPr>
              <w:t xml:space="preserve">55</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21.4</w:t>
            </w:r>
          </w:p>
        </w:tc>
      </w:tr>
      <w:tr>
        <w:tc>
          <w:tcPr>
            <w:tcW w:type="pct" w:w="11%"/>
            <w:tcBorders>
              <w:top w:val="single" w:sz="1"/>
              <w:left w:val="single" w:sz="1"/>
              <w:bottom w:val="single" w:sz="1"/>
              <w:right w:val="single" w:sz="1"/>
            </w:tcBorders>
          </w:tcPr>
          <w:p>
            <w:r>
              <w:rPr>
                <w:b w:val="false"/>
                <w:bCs w:val="false"/>
                <w:sz w:val="20"/>
                <w:szCs w:val="20"/>
              </w:rPr>
              <w:t xml:space="preserve">15.</w:t>
            </w:r>
          </w:p>
        </w:tc>
        <w:tc>
          <w:tcPr>
            <w:tcW w:type="pct" w:w="11%"/>
            <w:tcBorders>
              <w:top w:val="single" w:sz="1"/>
              <w:left w:val="single" w:sz="1"/>
              <w:bottom w:val="single" w:sz="1"/>
              <w:right w:val="single" w:sz="1"/>
            </w:tcBorders>
          </w:tcPr>
          <w:p>
            <w:r>
              <w:rPr>
                <w:b w:val="false"/>
                <w:bCs w:val="false"/>
                <w:sz w:val="20"/>
                <w:szCs w:val="20"/>
              </w:rPr>
              <w:t xml:space="preserve">D-15</w:t>
            </w:r>
          </w:p>
        </w:tc>
        <w:tc>
          <w:tcPr>
            <w:tcW w:type="pct" w:w="11%"/>
            <w:tcBorders>
              <w:top w:val="single" w:sz="1"/>
              <w:left w:val="single" w:sz="1"/>
              <w:bottom w:val="single" w:sz="1"/>
              <w:right w:val="single" w:sz="1"/>
            </w:tcBorders>
          </w:tcPr>
          <w:p>
            <w:r>
              <w:rPr>
                <w:b w:val="false"/>
                <w:bCs w:val="false"/>
                <w:sz w:val="20"/>
                <w:szCs w:val="20"/>
              </w:rPr>
              <w:t xml:space="preserve">MPK</w:t>
            </w:r>
          </w:p>
        </w:tc>
        <w:tc>
          <w:tcPr>
            <w:tcW w:type="pct" w:w="11%"/>
            <w:tcBorders>
              <w:top w:val="single" w:sz="1"/>
              <w:left w:val="single" w:sz="1"/>
              <w:bottom w:val="single" w:sz="1"/>
              <w:right w:val="single" w:sz="1"/>
            </w:tcBorders>
          </w:tcPr>
          <w:p>
            <w:r>
              <w:rPr>
                <w:b w:val="false"/>
                <w:bCs w:val="false"/>
                <w:sz w:val="20"/>
                <w:szCs w:val="20"/>
              </w:rPr>
              <w:t xml:space="preserve">male</w:t>
            </w:r>
          </w:p>
        </w:tc>
        <w:tc>
          <w:tcPr>
            <w:tcW w:type="pct" w:w="11%"/>
            <w:tcBorders>
              <w:top w:val="single" w:sz="1"/>
              <w:left w:val="single" w:sz="1"/>
              <w:bottom w:val="single" w:sz="1"/>
              <w:right w:val="single" w:sz="1"/>
            </w:tcBorders>
          </w:tcPr>
          <w:p>
            <w:r>
              <w:rPr>
                <w:b w:val="false"/>
                <w:bCs w:val="false"/>
                <w:sz w:val="20"/>
                <w:szCs w:val="20"/>
              </w:rPr>
              <w:t xml:space="preserve">27</w:t>
            </w:r>
          </w:p>
        </w:tc>
        <w:tc>
          <w:tcPr>
            <w:tcW w:type="pct" w:w="11%"/>
            <w:tcBorders>
              <w:top w:val="single" w:sz="1"/>
              <w:left w:val="single" w:sz="1"/>
              <w:bottom w:val="single" w:sz="1"/>
              <w:right w:val="single" w:sz="1"/>
            </w:tcBorders>
          </w:tcPr>
          <w:p>
            <w:r>
              <w:rPr>
                <w:b w:val="false"/>
                <w:bCs w:val="false"/>
                <w:sz w:val="20"/>
                <w:szCs w:val="20"/>
              </w:rPr>
              <w:t xml:space="preserve">178</w:t>
            </w:r>
          </w:p>
        </w:tc>
        <w:tc>
          <w:tcPr>
            <w:tcW w:type="pct" w:w="11%"/>
            <w:tcBorders>
              <w:top w:val="single" w:sz="1"/>
              <w:left w:val="single" w:sz="1"/>
              <w:bottom w:val="single" w:sz="1"/>
              <w:right w:val="single" w:sz="1"/>
            </w:tcBorders>
          </w:tcPr>
          <w:p>
            <w:r>
              <w:rPr>
                <w:b w:val="false"/>
                <w:bCs w:val="false"/>
                <w:sz w:val="20"/>
                <w:szCs w:val="20"/>
              </w:rPr>
              <w:t xml:space="preserve">77</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NLO</w:t>
            </w:r>
          </w:p>
        </w:tc>
      </w:tr>
      <w:tr>
        <w:tc>
          <w:tcPr>
            <w:tcW w:type="pct" w:w="11%"/>
            <w:tcBorders>
              <w:top w:val="single" w:sz="1"/>
              <w:left w:val="single" w:sz="1"/>
              <w:bottom w:val="single" w:sz="1"/>
              <w:right w:val="single" w:sz="1"/>
            </w:tcBorders>
          </w:tcPr>
          <w:p>
            <w:r>
              <w:rPr>
                <w:b w:val="false"/>
                <w:bCs w:val="false"/>
                <w:sz w:val="20"/>
                <w:szCs w:val="20"/>
              </w:rPr>
              <w:t xml:space="preserve">16.</w:t>
            </w:r>
          </w:p>
        </w:tc>
        <w:tc>
          <w:tcPr>
            <w:tcW w:type="pct" w:w="11%"/>
            <w:tcBorders>
              <w:top w:val="single" w:sz="1"/>
              <w:left w:val="single" w:sz="1"/>
              <w:bottom w:val="single" w:sz="1"/>
              <w:right w:val="single" w:sz="1"/>
            </w:tcBorders>
          </w:tcPr>
          <w:p>
            <w:r>
              <w:rPr>
                <w:b w:val="false"/>
                <w:bCs w:val="false"/>
                <w:sz w:val="20"/>
                <w:szCs w:val="20"/>
              </w:rPr>
              <w:t xml:space="preserve">D-16</w:t>
            </w:r>
          </w:p>
        </w:tc>
        <w:tc>
          <w:tcPr>
            <w:tcW w:type="pct" w:w="11%"/>
            <w:tcBorders>
              <w:top w:val="single" w:sz="1"/>
              <w:left w:val="single" w:sz="1"/>
              <w:bottom w:val="single" w:sz="1"/>
              <w:right w:val="single" w:sz="1"/>
            </w:tcBorders>
          </w:tcPr>
          <w:p>
            <w:r>
              <w:rPr>
                <w:b w:val="false"/>
                <w:bCs w:val="false"/>
                <w:sz w:val="20"/>
                <w:szCs w:val="20"/>
              </w:rPr>
              <w:t xml:space="preserve">GZA</w:t>
            </w:r>
          </w:p>
        </w:tc>
        <w:tc>
          <w:tcPr>
            <w:tcW w:type="pct" w:w="11%"/>
            <w:tcBorders>
              <w:top w:val="single" w:sz="1"/>
              <w:left w:val="single" w:sz="1"/>
              <w:bottom w:val="single" w:sz="1"/>
              <w:right w:val="single" w:sz="1"/>
            </w:tcBorders>
          </w:tcPr>
          <w:p>
            <w:r>
              <w:rPr>
                <w:b w:val="false"/>
                <w:bCs w:val="false"/>
                <w:sz w:val="20"/>
                <w:szCs w:val="20"/>
              </w:rPr>
              <w:t xml:space="preserve">female</w:t>
            </w:r>
          </w:p>
        </w:tc>
        <w:tc>
          <w:tcPr>
            <w:tcW w:type="pct" w:w="11%"/>
            <w:tcBorders>
              <w:top w:val="single" w:sz="1"/>
              <w:left w:val="single" w:sz="1"/>
              <w:bottom w:val="single" w:sz="1"/>
              <w:right w:val="single" w:sz="1"/>
            </w:tcBorders>
          </w:tcPr>
          <w:p>
            <w:r>
              <w:rPr>
                <w:b w:val="false"/>
                <w:bCs w:val="false"/>
                <w:sz w:val="20"/>
                <w:szCs w:val="20"/>
              </w:rPr>
              <w:t xml:space="preserve">44</w:t>
            </w:r>
          </w:p>
        </w:tc>
        <w:tc>
          <w:tcPr>
            <w:tcW w:type="pct" w:w="11%"/>
            <w:tcBorders>
              <w:top w:val="single" w:sz="1"/>
              <w:left w:val="single" w:sz="1"/>
              <w:bottom w:val="single" w:sz="1"/>
              <w:right w:val="single" w:sz="1"/>
            </w:tcBorders>
          </w:tcPr>
          <w:p>
            <w:r>
              <w:rPr>
                <w:b w:val="false"/>
                <w:bCs w:val="false"/>
                <w:sz w:val="20"/>
                <w:szCs w:val="20"/>
              </w:rPr>
              <w:t xml:space="preserve">160</w:t>
            </w:r>
          </w:p>
        </w:tc>
        <w:tc>
          <w:tcPr>
            <w:tcW w:type="pct" w:w="11%"/>
            <w:tcBorders>
              <w:top w:val="single" w:sz="1"/>
              <w:left w:val="single" w:sz="1"/>
              <w:bottom w:val="single" w:sz="1"/>
              <w:right w:val="single" w:sz="1"/>
            </w:tcBorders>
          </w:tcPr>
          <w:p>
            <w:r>
              <w:rPr>
                <w:b w:val="false"/>
                <w:bCs w:val="false"/>
                <w:sz w:val="20"/>
                <w:szCs w:val="20"/>
              </w:rPr>
              <w:t xml:space="preserve">56</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39</w:t>
            </w:r>
          </w:p>
        </w:tc>
      </w:tr>
      <w:tr>
        <w:tc>
          <w:tcPr>
            <w:tcW w:type="pct" w:w="11%"/>
            <w:tcBorders>
              <w:top w:val="single" w:sz="1"/>
              <w:left w:val="single" w:sz="1"/>
              <w:bottom w:val="single" w:sz="1"/>
              <w:right w:val="single" w:sz="1"/>
            </w:tcBorders>
          </w:tcPr>
          <w:p>
            <w:r>
              <w:rPr>
                <w:b w:val="false"/>
                <w:bCs w:val="false"/>
                <w:sz w:val="20"/>
                <w:szCs w:val="20"/>
              </w:rPr>
              <w:t xml:space="preserve">17.</w:t>
            </w:r>
          </w:p>
        </w:tc>
        <w:tc>
          <w:tcPr>
            <w:tcW w:type="pct" w:w="11%"/>
            <w:tcBorders>
              <w:top w:val="single" w:sz="1"/>
              <w:left w:val="single" w:sz="1"/>
              <w:bottom w:val="single" w:sz="1"/>
              <w:right w:val="single" w:sz="1"/>
            </w:tcBorders>
          </w:tcPr>
          <w:p>
            <w:r>
              <w:rPr>
                <w:b w:val="false"/>
                <w:bCs w:val="false"/>
                <w:sz w:val="20"/>
                <w:szCs w:val="20"/>
              </w:rPr>
              <w:t xml:space="preserve">D-17</w:t>
            </w:r>
          </w:p>
        </w:tc>
        <w:tc>
          <w:tcPr>
            <w:tcW w:type="pct" w:w="11%"/>
            <w:tcBorders>
              <w:top w:val="single" w:sz="1"/>
              <w:left w:val="single" w:sz="1"/>
              <w:bottom w:val="single" w:sz="1"/>
              <w:right w:val="single" w:sz="1"/>
            </w:tcBorders>
          </w:tcPr>
          <w:p>
            <w:r>
              <w:rPr>
                <w:b w:val="false"/>
                <w:bCs w:val="false"/>
                <w:sz w:val="20"/>
                <w:szCs w:val="20"/>
              </w:rPr>
              <w:t xml:space="preserve">PLK</w:t>
            </w:r>
          </w:p>
        </w:tc>
        <w:tc>
          <w:tcPr>
            <w:tcW w:type="pct" w:w="11%"/>
            <w:tcBorders>
              <w:top w:val="single" w:sz="1"/>
              <w:left w:val="single" w:sz="1"/>
              <w:bottom w:val="single" w:sz="1"/>
              <w:right w:val="single" w:sz="1"/>
            </w:tcBorders>
          </w:tcPr>
          <w:p>
            <w:r>
              <w:rPr>
                <w:b w:val="false"/>
                <w:bCs w:val="false"/>
                <w:sz w:val="20"/>
                <w:szCs w:val="20"/>
              </w:rPr>
              <w:t xml:space="preserve">female</w:t>
            </w:r>
          </w:p>
        </w:tc>
        <w:tc>
          <w:tcPr>
            <w:tcW w:type="pct" w:w="11%"/>
            <w:tcBorders>
              <w:top w:val="single" w:sz="1"/>
              <w:left w:val="single" w:sz="1"/>
              <w:bottom w:val="single" w:sz="1"/>
              <w:right w:val="single" w:sz="1"/>
            </w:tcBorders>
          </w:tcPr>
          <w:p>
            <w:r>
              <w:rPr>
                <w:b w:val="false"/>
                <w:bCs w:val="false"/>
                <w:sz w:val="20"/>
                <w:szCs w:val="20"/>
              </w:rPr>
              <w:t xml:space="preserve">43</w:t>
            </w:r>
          </w:p>
        </w:tc>
        <w:tc>
          <w:tcPr>
            <w:tcW w:type="pct" w:w="11%"/>
            <w:tcBorders>
              <w:top w:val="single" w:sz="1"/>
              <w:left w:val="single" w:sz="1"/>
              <w:bottom w:val="single" w:sz="1"/>
              <w:right w:val="single" w:sz="1"/>
            </w:tcBorders>
          </w:tcPr>
          <w:p>
            <w:r>
              <w:rPr>
                <w:b w:val="false"/>
                <w:bCs w:val="false"/>
                <w:sz w:val="20"/>
                <w:szCs w:val="20"/>
              </w:rPr>
              <w:t xml:space="preserve">162</w:t>
            </w:r>
          </w:p>
        </w:tc>
        <w:tc>
          <w:tcPr>
            <w:tcW w:type="pct" w:w="11%"/>
            <w:tcBorders>
              <w:top w:val="single" w:sz="1"/>
              <w:left w:val="single" w:sz="1"/>
              <w:bottom w:val="single" w:sz="1"/>
              <w:right w:val="single" w:sz="1"/>
            </w:tcBorders>
          </w:tcPr>
          <w:p>
            <w:r>
              <w:rPr>
                <w:b w:val="false"/>
                <w:bCs w:val="false"/>
                <w:sz w:val="20"/>
                <w:szCs w:val="20"/>
              </w:rPr>
              <w:t xml:space="preserve">59</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NLO</w:t>
            </w:r>
          </w:p>
        </w:tc>
      </w:tr>
      <w:tr>
        <w:tc>
          <w:tcPr>
            <w:tcW w:type="pct" w:w="11%"/>
            <w:tcBorders>
              <w:top w:val="single" w:sz="1"/>
              <w:left w:val="single" w:sz="1"/>
              <w:bottom w:val="single" w:sz="1"/>
              <w:right w:val="single" w:sz="1"/>
            </w:tcBorders>
          </w:tcPr>
          <w:p>
            <w:r>
              <w:rPr>
                <w:b w:val="false"/>
                <w:bCs w:val="false"/>
                <w:sz w:val="20"/>
                <w:szCs w:val="20"/>
              </w:rPr>
              <w:t xml:space="preserve">18.</w:t>
            </w:r>
          </w:p>
        </w:tc>
        <w:tc>
          <w:tcPr>
            <w:tcW w:type="pct" w:w="11%"/>
            <w:tcBorders>
              <w:top w:val="single" w:sz="1"/>
              <w:left w:val="single" w:sz="1"/>
              <w:bottom w:val="single" w:sz="1"/>
              <w:right w:val="single" w:sz="1"/>
            </w:tcBorders>
          </w:tcPr>
          <w:p>
            <w:r>
              <w:rPr>
                <w:b w:val="false"/>
                <w:bCs w:val="false"/>
                <w:sz w:val="20"/>
                <w:szCs w:val="20"/>
              </w:rPr>
              <w:t xml:space="preserve">D-18</w:t>
            </w:r>
          </w:p>
        </w:tc>
        <w:tc>
          <w:tcPr>
            <w:tcW w:type="pct" w:w="11%"/>
            <w:tcBorders>
              <w:top w:val="single" w:sz="1"/>
              <w:left w:val="single" w:sz="1"/>
              <w:bottom w:val="single" w:sz="1"/>
              <w:right w:val="single" w:sz="1"/>
            </w:tcBorders>
          </w:tcPr>
          <w:p>
            <w:r>
              <w:rPr>
                <w:b w:val="false"/>
                <w:bCs w:val="false"/>
                <w:sz w:val="20"/>
                <w:szCs w:val="20"/>
              </w:rPr>
              <w:t xml:space="preserve">ZNV</w:t>
            </w:r>
          </w:p>
        </w:tc>
        <w:tc>
          <w:tcPr>
            <w:tcW w:type="pct" w:w="11%"/>
            <w:tcBorders>
              <w:top w:val="single" w:sz="1"/>
              <w:left w:val="single" w:sz="1"/>
              <w:bottom w:val="single" w:sz="1"/>
              <w:right w:val="single" w:sz="1"/>
            </w:tcBorders>
          </w:tcPr>
          <w:p>
            <w:r>
              <w:rPr>
                <w:b w:val="false"/>
                <w:bCs w:val="false"/>
                <w:sz w:val="20"/>
                <w:szCs w:val="20"/>
              </w:rPr>
              <w:t xml:space="preserve">female</w:t>
            </w:r>
          </w:p>
        </w:tc>
        <w:tc>
          <w:tcPr>
            <w:tcW w:type="pct" w:w="11%"/>
            <w:tcBorders>
              <w:top w:val="single" w:sz="1"/>
              <w:left w:val="single" w:sz="1"/>
              <w:bottom w:val="single" w:sz="1"/>
              <w:right w:val="single" w:sz="1"/>
            </w:tcBorders>
          </w:tcPr>
          <w:p>
            <w:r>
              <w:rPr>
                <w:b w:val="false"/>
                <w:bCs w:val="false"/>
                <w:sz w:val="20"/>
                <w:szCs w:val="20"/>
              </w:rPr>
              <w:t xml:space="preserve">36</w:t>
            </w:r>
          </w:p>
        </w:tc>
        <w:tc>
          <w:tcPr>
            <w:tcW w:type="pct" w:w="11%"/>
            <w:tcBorders>
              <w:top w:val="single" w:sz="1"/>
              <w:left w:val="single" w:sz="1"/>
              <w:bottom w:val="single" w:sz="1"/>
              <w:right w:val="single" w:sz="1"/>
            </w:tcBorders>
          </w:tcPr>
          <w:p>
            <w:r>
              <w:rPr>
                <w:b w:val="false"/>
                <w:bCs w:val="false"/>
                <w:sz w:val="20"/>
                <w:szCs w:val="20"/>
              </w:rPr>
              <w:t xml:space="preserve">166</w:t>
            </w:r>
          </w:p>
        </w:tc>
        <w:tc>
          <w:tcPr>
            <w:tcW w:type="pct" w:w="11%"/>
            <w:tcBorders>
              <w:top w:val="single" w:sz="1"/>
              <w:left w:val="single" w:sz="1"/>
              <w:bottom w:val="single" w:sz="1"/>
              <w:right w:val="single" w:sz="1"/>
            </w:tcBorders>
          </w:tcPr>
          <w:p>
            <w:r>
              <w:rPr>
                <w:b w:val="false"/>
                <w:bCs w:val="false"/>
                <w:sz w:val="20"/>
                <w:szCs w:val="20"/>
              </w:rPr>
              <w:t xml:space="preserve">75</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16.9</w:t>
            </w:r>
          </w:p>
        </w:tc>
      </w:tr>
      <w:tr>
        <w:tc>
          <w:tcPr>
            <w:tcW w:type="pct" w:w="11%"/>
            <w:tcBorders>
              <w:top w:val="single" w:sz="1"/>
              <w:left w:val="single" w:sz="1"/>
              <w:bottom w:val="single" w:sz="1"/>
              <w:right w:val="single" w:sz="1"/>
            </w:tcBorders>
          </w:tcPr>
          <w:p>
            <w:r>
              <w:rPr>
                <w:b w:val="false"/>
                <w:bCs w:val="false"/>
                <w:sz w:val="20"/>
                <w:szCs w:val="20"/>
              </w:rPr>
              <w:t xml:space="preserve">19.</w:t>
            </w:r>
          </w:p>
        </w:tc>
        <w:tc>
          <w:tcPr>
            <w:tcW w:type="pct" w:w="11%"/>
            <w:tcBorders>
              <w:top w:val="single" w:sz="1"/>
              <w:left w:val="single" w:sz="1"/>
              <w:bottom w:val="single" w:sz="1"/>
              <w:right w:val="single" w:sz="1"/>
            </w:tcBorders>
          </w:tcPr>
          <w:p>
            <w:r>
              <w:rPr>
                <w:b w:val="false"/>
                <w:bCs w:val="false"/>
                <w:sz w:val="20"/>
                <w:szCs w:val="20"/>
              </w:rPr>
              <w:t xml:space="preserve">D-19</w:t>
            </w:r>
          </w:p>
        </w:tc>
        <w:tc>
          <w:tcPr>
            <w:tcW w:type="pct" w:w="11%"/>
            <w:tcBorders>
              <w:top w:val="single" w:sz="1"/>
              <w:left w:val="single" w:sz="1"/>
              <w:bottom w:val="single" w:sz="1"/>
              <w:right w:val="single" w:sz="1"/>
            </w:tcBorders>
          </w:tcPr>
          <w:p>
            <w:r>
              <w:rPr>
                <w:b w:val="false"/>
                <w:bCs w:val="false"/>
                <w:sz w:val="20"/>
                <w:szCs w:val="20"/>
              </w:rPr>
              <w:t xml:space="preserve">BVA</w:t>
            </w:r>
          </w:p>
        </w:tc>
        <w:tc>
          <w:tcPr>
            <w:tcW w:type="pct" w:w="11%"/>
            <w:tcBorders>
              <w:top w:val="single" w:sz="1"/>
              <w:left w:val="single" w:sz="1"/>
              <w:bottom w:val="single" w:sz="1"/>
              <w:right w:val="single" w:sz="1"/>
            </w:tcBorders>
          </w:tcPr>
          <w:p>
            <w:r>
              <w:rPr>
                <w:b w:val="false"/>
                <w:bCs w:val="false"/>
                <w:sz w:val="20"/>
                <w:szCs w:val="20"/>
              </w:rPr>
              <w:t xml:space="preserve">male</w:t>
            </w:r>
          </w:p>
        </w:tc>
        <w:tc>
          <w:tcPr>
            <w:tcW w:type="pct" w:w="11%"/>
            <w:tcBorders>
              <w:top w:val="single" w:sz="1"/>
              <w:left w:val="single" w:sz="1"/>
              <w:bottom w:val="single" w:sz="1"/>
              <w:right w:val="single" w:sz="1"/>
            </w:tcBorders>
          </w:tcPr>
          <w:p>
            <w:r>
              <w:rPr>
                <w:b w:val="false"/>
                <w:bCs w:val="false"/>
                <w:sz w:val="20"/>
                <w:szCs w:val="20"/>
              </w:rPr>
              <w:t xml:space="preserve">25</w:t>
            </w:r>
          </w:p>
        </w:tc>
        <w:tc>
          <w:tcPr>
            <w:tcW w:type="pct" w:w="11%"/>
            <w:tcBorders>
              <w:top w:val="single" w:sz="1"/>
              <w:left w:val="single" w:sz="1"/>
              <w:bottom w:val="single" w:sz="1"/>
              <w:right w:val="single" w:sz="1"/>
            </w:tcBorders>
          </w:tcPr>
          <w:p>
            <w:r>
              <w:rPr>
                <w:b w:val="false"/>
                <w:bCs w:val="false"/>
                <w:sz w:val="20"/>
                <w:szCs w:val="20"/>
              </w:rPr>
              <w:t xml:space="preserve">178</w:t>
            </w:r>
          </w:p>
        </w:tc>
        <w:tc>
          <w:tcPr>
            <w:tcW w:type="pct" w:w="11%"/>
            <w:tcBorders>
              <w:top w:val="single" w:sz="1"/>
              <w:left w:val="single" w:sz="1"/>
              <w:bottom w:val="single" w:sz="1"/>
              <w:right w:val="single" w:sz="1"/>
            </w:tcBorders>
          </w:tcPr>
          <w:p>
            <w:r>
              <w:rPr>
                <w:b w:val="false"/>
                <w:bCs w:val="false"/>
                <w:sz w:val="20"/>
                <w:szCs w:val="20"/>
              </w:rPr>
              <w:t xml:space="preserve">69</w:t>
            </w:r>
          </w:p>
        </w:tc>
        <w:tc>
          <w:tcPr>
            <w:tcW w:type="pct" w:w="11%"/>
            <w:tcBorders>
              <w:top w:val="single" w:sz="1"/>
              <w:left w:val="single" w:sz="1"/>
              <w:bottom w:val="single" w:sz="1"/>
              <w:right w:val="single" w:sz="1"/>
            </w:tcBorders>
          </w:tcPr>
          <w:p>
            <w:r>
              <w:rPr>
                <w:b w:val="false"/>
                <w:bCs w:val="false"/>
                <w:sz w:val="20"/>
                <w:szCs w:val="20"/>
              </w:rPr>
              <w:t xml:space="preserve">4 h</w:t>
            </w:r>
          </w:p>
        </w:tc>
        <w:tc>
          <w:tcPr>
            <w:tcW w:type="pct" w:w="11%"/>
            <w:tcBorders>
              <w:top w:val="single" w:sz="1"/>
              <w:left w:val="single" w:sz="1"/>
              <w:bottom w:val="single" w:sz="1"/>
              <w:right w:val="single" w:sz="1"/>
            </w:tcBorders>
          </w:tcPr>
          <w:p>
            <w:r>
              <w:rPr>
                <w:b w:val="false"/>
                <w:bCs w:val="false"/>
                <w:sz w:val="20"/>
                <w:szCs w:val="20"/>
              </w:rPr>
              <w:t xml:space="preserve">NLO</w:t>
            </w:r>
          </w:p>
        </w:tc>
      </w:tr>
    </w:tbl>
    <w:p>
      <w:pPr>
        <w:spacing w:after="120"/>
      </w:pPr>
      <w:r>
        <w:t xml:space="preserve">Using the random number method, volunteers included in the study were randomized and each of them was assigned a randomization number (D-1 – D-19 – see Table 2), which remained unchanged until the end of the study.</w:t>
      </w:r>
    </w:p>
    <w:p>
      <w:pPr>
        <w:spacing w:after="120"/>
      </w:pPr>
      <w:r>
        <w:t xml:space="preserve">During their stay in the inpatient department of the 1st pulmonological department of CCH-6 (they were provided with 2 wards), volunteers were provided with 3 meals a day (Table No. 15), including dietary dishes and excluding fatty and fried foods and caffeinated drinks. The department had emergency care supplies ready, and the intensive care unit was located on the first floor of the traumatological building.</w:t>
      </w:r>
    </w:p>
    <w:p>
      <w:pPr>
        <w:spacing w:after="120"/>
      </w:pPr>
      <w:r>
        <w:t xml:space="preserve">The day before the study (periods I and III), volunteers arrived at the inpatient department in the evening at 19:00-20:00 and underwent examination by a therapist. Studies began the next morning (see the blood sampling registration card).</w:t>
      </w:r>
    </w:p>
    <w:p>
      <w:pPr>
        <w:spacing w:after="120"/>
      </w:pPr>
      <w:r>
        <w:t xml:space="preserve">The study plan envisaged the following periods of product administration (Table 3).</w:t>
      </w:r>
    </w:p>
    <w:p>
      <w:pPr>
        <w:pStyle w:val="Heading2"/>
        <w:spacing w:after="200"/>
        <w:jc w:val="left"/>
      </w:pPr>
      <w:r>
        <w:rPr>
          <w:b/>
          <w:bCs/>
          <w:sz w:val="24"/>
          <w:szCs w:val="24"/>
        </w:rPr>
        <w:t xml:space="preserve">Table 3. Randomization and study product administration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3%"/>
            <w:tcBorders>
              <w:top w:val="single" w:sz="1"/>
              <w:left w:val="single" w:sz="1"/>
              <w:bottom w:val="single" w:sz="1"/>
              <w:right w:val="single" w:sz="1"/>
            </w:tcBorders>
          </w:tcPr>
          <w:p>
            <w:r>
              <w:rPr>
                <w:b/>
                <w:bCs/>
                <w:sz w:val="20"/>
                <w:szCs w:val="20"/>
              </w:rPr>
              <w:t xml:space="preserve">Volunteer code</w:t>
            </w:r>
          </w:p>
        </w:tc>
        <w:tc>
          <w:tcPr>
            <w:tcW w:type="pct" w:w="33%"/>
            <w:tcBorders>
              <w:top w:val="single" w:sz="1"/>
              <w:left w:val="single" w:sz="1"/>
              <w:bottom w:val="single" w:sz="1"/>
              <w:right w:val="single" w:sz="1"/>
            </w:tcBorders>
          </w:tcPr>
          <w:p>
            <w:r>
              <w:rPr>
                <w:b/>
                <w:bCs/>
                <w:sz w:val="20"/>
                <w:szCs w:val="20"/>
              </w:rPr>
              <w:t xml:space="preserve">FASTING ADMINISTRATION</w:t>
            </w:r>
          </w:p>
        </w:tc>
        <w:tc>
          <w:tcPr>
            <w:tcW w:type="pct" w:w="33%"/>
            <w:tcBorders>
              <w:top w:val="single" w:sz="1"/>
              <w:left w:val="single" w:sz="1"/>
              <w:bottom w:val="single" w:sz="1"/>
              <w:right w:val="single" w:sz="1"/>
            </w:tcBorders>
          </w:tcPr>
          <w:p>
            <w:r>
              <w:rPr>
                <w:b/>
                <w:bCs/>
                <w:sz w:val="20"/>
                <w:szCs w:val="20"/>
              </w:rPr>
              <w:t xml:space="preserve">AFTER-MEALS ADMINISTRATION</w:t>
            </w:r>
          </w:p>
        </w:tc>
      </w:tr>
      <w:tr>
        <w:tc>
          <w:tcPr>
            <w:tcW w:type="pct" w:w="25%"/>
            <w:tcBorders>
              <w:top w:val="single" w:sz="1"/>
              <w:left w:val="single" w:sz="1"/>
              <w:bottom w:val="single" w:sz="1"/>
              <w:right w:val="single" w:sz="1"/>
            </w:tcBorders>
          </w:tcPr>
          <w:p>
            <w:r>
              <w:rPr>
                <w:b w:val="false"/>
                <w:bCs w:val="false"/>
                <w:sz w:val="20"/>
                <w:szCs w:val="20"/>
              </w:rPr>
              <w:t xml:space="preserve">27.12.2008</w:t>
            </w:r>
          </w:p>
        </w:tc>
        <w:tc>
          <w:tcPr>
            <w:tcW w:type="pct" w:w="25%"/>
            <w:tcBorders>
              <w:top w:val="single" w:sz="1"/>
              <w:left w:val="single" w:sz="1"/>
              <w:bottom w:val="single" w:sz="1"/>
              <w:right w:val="single" w:sz="1"/>
            </w:tcBorders>
          </w:tcPr>
          <w:p>
            <w:r>
              <w:rPr>
                <w:b w:val="false"/>
                <w:bCs w:val="false"/>
                <w:sz w:val="20"/>
                <w:szCs w:val="20"/>
              </w:rPr>
              <w:t xml:space="preserve">28.12.2008</w:t>
            </w:r>
          </w:p>
        </w:tc>
        <w:tc>
          <w:tcPr>
            <w:tcW w:type="pct" w:w="25%"/>
            <w:tcBorders>
              <w:top w:val="single" w:sz="1"/>
              <w:left w:val="single" w:sz="1"/>
              <w:bottom w:val="single" w:sz="1"/>
              <w:right w:val="single" w:sz="1"/>
            </w:tcBorders>
          </w:tcPr>
          <w:p>
            <w:r>
              <w:rPr>
                <w:b w:val="false"/>
                <w:bCs w:val="false"/>
                <w:sz w:val="20"/>
                <w:szCs w:val="20"/>
              </w:rPr>
              <w:t xml:space="preserve">3.01.2009</w:t>
            </w:r>
          </w:p>
        </w:tc>
        <w:tc>
          <w:tcPr>
            <w:tcW w:type="pct" w:w="25%"/>
            <w:tcBorders>
              <w:top w:val="single" w:sz="1"/>
              <w:left w:val="single" w:sz="1"/>
              <w:bottom w:val="single" w:sz="1"/>
              <w:right w:val="single" w:sz="1"/>
            </w:tcBorders>
          </w:tcPr>
          <w:p>
            <w:r>
              <w:rPr>
                <w:b w:val="false"/>
                <w:bCs w:val="false"/>
                <w:sz w:val="20"/>
                <w:szCs w:val="20"/>
              </w:rPr>
              <w:t xml:space="preserve">4.01.2009</w:t>
            </w:r>
          </w:p>
        </w:tc>
      </w:tr>
      <w:tr>
        <w:tc>
          <w:tcPr>
            <w:tcW w:type="pct" w:w="20%"/>
            <w:tcBorders>
              <w:top w:val="single" w:sz="1"/>
              <w:left w:val="single" w:sz="1"/>
              <w:bottom w:val="single" w:sz="1"/>
              <w:right w:val="single" w:sz="1"/>
            </w:tcBorders>
          </w:tcPr>
          <w:p>
            <w:r>
              <w:rPr>
                <w:b w:val="false"/>
                <w:bCs w:val="false"/>
                <w:sz w:val="20"/>
                <w:szCs w:val="20"/>
              </w:rPr>
              <w:t xml:space="preserve">D-01 – D-10</w:t>
            </w:r>
          </w:p>
        </w:tc>
        <w:tc>
          <w:tcPr>
            <w:tcW w:type="pct" w:w="20%"/>
            <w:tcBorders>
              <w:top w:val="single" w:sz="1"/>
              <w:left w:val="single" w:sz="1"/>
              <w:bottom w:val="single" w:sz="1"/>
              <w:right w:val="single" w:sz="1"/>
            </w:tcBorders>
          </w:tcPr>
          <w:p>
            <w:r>
              <w:rPr>
                <w:b w:val="false"/>
                <w:bCs w:val="false"/>
                <w:sz w:val="20"/>
                <w:szCs w:val="20"/>
              </w:rPr>
              <w:t xml:space="preserve">LANSASOL, (OAO «BORIMED»)</w:t>
            </w:r>
          </w:p>
        </w:tc>
        <w:tc>
          <w:tcPr>
            <w:tcW w:type="pct" w:w="20%"/>
            <w:tcBorders>
              <w:top w:val="single" w:sz="1"/>
              <w:left w:val="single" w:sz="1"/>
              <w:bottom w:val="single" w:sz="1"/>
              <w:right w:val="single" w:sz="1"/>
            </w:tcBorders>
          </w:tcPr>
          <w:p>
            <w:r>
              <w:rPr>
                <w:b w:val="false"/>
                <w:bCs w:val="false"/>
                <w:sz w:val="20"/>
                <w:szCs w:val="20"/>
              </w:rPr>
              <w:t xml:space="preserve">LANZOPTOL (KRKA)</w:t>
            </w:r>
          </w:p>
        </w:tc>
        <w:tc>
          <w:tcPr>
            <w:tcW w:type="pct" w:w="20%"/>
            <w:tcBorders>
              <w:top w:val="single" w:sz="1"/>
              <w:left w:val="single" w:sz="1"/>
              <w:bottom w:val="single" w:sz="1"/>
              <w:right w:val="single" w:sz="1"/>
            </w:tcBorders>
          </w:tcPr>
          <w:p>
            <w:r>
              <w:rPr>
                <w:b w:val="false"/>
                <w:bCs w:val="false"/>
                <w:sz w:val="20"/>
                <w:szCs w:val="20"/>
              </w:rPr>
              <w:t xml:space="preserve">LANSASOL, (OAO «BORIMED»)</w:t>
            </w:r>
          </w:p>
        </w:tc>
        <w:tc>
          <w:tcPr>
            <w:tcW w:type="pct" w:w="20%"/>
            <w:tcBorders>
              <w:top w:val="single" w:sz="1"/>
              <w:left w:val="single" w:sz="1"/>
              <w:bottom w:val="single" w:sz="1"/>
              <w:right w:val="single" w:sz="1"/>
            </w:tcBorders>
          </w:tcPr>
          <w:p>
            <w:r>
              <w:rPr>
                <w:b w:val="false"/>
                <w:bCs w:val="false"/>
                <w:sz w:val="20"/>
                <w:szCs w:val="20"/>
              </w:rPr>
              <w:t xml:space="preserve">LANZOPTOL (KRKA)</w:t>
            </w:r>
          </w:p>
        </w:tc>
      </w:tr>
      <w:tr>
        <w:tc>
          <w:tcPr>
            <w:tcW w:type="pct" w:w="20%"/>
            <w:tcBorders>
              <w:top w:val="single" w:sz="1"/>
              <w:left w:val="single" w:sz="1"/>
              <w:bottom w:val="single" w:sz="1"/>
              <w:right w:val="single" w:sz="1"/>
            </w:tcBorders>
          </w:tcPr>
          <w:p>
            <w:r>
              <w:rPr>
                <w:b w:val="false"/>
                <w:bCs w:val="false"/>
                <w:sz w:val="20"/>
                <w:szCs w:val="20"/>
              </w:rPr>
              <w:t xml:space="preserve">D-11 – D-19</w:t>
            </w:r>
          </w:p>
        </w:tc>
        <w:tc>
          <w:tcPr>
            <w:tcW w:type="pct" w:w="20%"/>
            <w:tcBorders>
              <w:top w:val="single" w:sz="1"/>
              <w:left w:val="single" w:sz="1"/>
              <w:bottom w:val="single" w:sz="1"/>
              <w:right w:val="single" w:sz="1"/>
            </w:tcBorders>
          </w:tcPr>
          <w:p>
            <w:r>
              <w:rPr>
                <w:b w:val="false"/>
                <w:bCs w:val="false"/>
                <w:sz w:val="20"/>
                <w:szCs w:val="20"/>
              </w:rPr>
              <w:t xml:space="preserve">LANZOPTOL (KRKA)</w:t>
            </w:r>
          </w:p>
        </w:tc>
        <w:tc>
          <w:tcPr>
            <w:tcW w:type="pct" w:w="20%"/>
            <w:tcBorders>
              <w:top w:val="single" w:sz="1"/>
              <w:left w:val="single" w:sz="1"/>
              <w:bottom w:val="single" w:sz="1"/>
              <w:right w:val="single" w:sz="1"/>
            </w:tcBorders>
          </w:tcPr>
          <w:p>
            <w:r>
              <w:rPr>
                <w:b w:val="false"/>
                <w:bCs w:val="false"/>
                <w:sz w:val="20"/>
                <w:szCs w:val="20"/>
              </w:rPr>
              <w:t xml:space="preserve">LANSASOL, (OAO «BORIMED»)</w:t>
            </w:r>
          </w:p>
        </w:tc>
        <w:tc>
          <w:tcPr>
            <w:tcW w:type="pct" w:w="20%"/>
            <w:tcBorders>
              <w:top w:val="single" w:sz="1"/>
              <w:left w:val="single" w:sz="1"/>
              <w:bottom w:val="single" w:sz="1"/>
              <w:right w:val="single" w:sz="1"/>
            </w:tcBorders>
          </w:tcPr>
          <w:p>
            <w:r>
              <w:rPr>
                <w:b w:val="false"/>
                <w:bCs w:val="false"/>
                <w:sz w:val="20"/>
                <w:szCs w:val="20"/>
              </w:rPr>
              <w:t xml:space="preserve">LANZOPTOL (KRKA)</w:t>
            </w:r>
          </w:p>
        </w:tc>
        <w:tc>
          <w:tcPr>
            <w:tcW w:type="pct" w:w="20%"/>
            <w:tcBorders>
              <w:top w:val="single" w:sz="1"/>
              <w:left w:val="single" w:sz="1"/>
              <w:bottom w:val="single" w:sz="1"/>
              <w:right w:val="single" w:sz="1"/>
            </w:tcBorders>
          </w:tcPr>
          <w:p>
            <w:r>
              <w:rPr>
                <w:b w:val="false"/>
                <w:bCs w:val="false"/>
                <w:sz w:val="20"/>
                <w:szCs w:val="20"/>
              </w:rPr>
              <w:t xml:space="preserve">LANSASOL, (OAO «BORIMED»)</w:t>
            </w:r>
          </w:p>
        </w:tc>
      </w:tr>
    </w:tbl>
    <w:p>
      <w:pPr>
        <w:pStyle w:val="Heading1"/>
        <w:spacing w:after="200"/>
        <w:jc w:val="left"/>
      </w:pPr>
      <w:r>
        <w:rPr>
          <w:b/>
          <w:bCs/>
          <w:sz w:val="28"/>
          <w:szCs w:val="28"/>
        </w:rPr>
        <w:t xml:space="preserve">VI. PREPARATION OF CONSUMABLES AND EQUIPMENT.</w:t>
      </w:r>
    </w:p>
    <w:p>
      <w:pPr>
        <w:spacing w:after="120"/>
      </w:pPr>
      <w:r>
        <w:t xml:space="preserve">For conducting the studies at the base of CCH-6, the following were prepared: the necessary quantities of intravenous catheters for blood collection, obturators, disposable intravenous needles, sterile gauze and cotton balls, napkins, rubber gloves, antiseptic, disposable syringes of 10 ml for blood sample collection (8-10 ml), tubes for accelerated serum separation, disposable pipettes for serum collection (1-2 ml) in marked polyethylene tubes (for 3 ml) with lids, Dewar vessels (3 pcs) with liquid nitrogen for storage of serum samples in tubes, centrifuge and thermoinsulating container for transporting serum samples (on the day after collection) to the place for determination of product concentrations (Republican Clinical and Pharmacological Laboratory of UE «Center for Expertise and Testing in Healthcare»).</w:t>
      </w:r>
    </w:p>
    <w:p>
      <w:pPr>
        <w:spacing w:after="120"/>
      </w:pPr>
      <w:r>
        <w:t xml:space="preserve">Blood collection from volunteers was carried out by experienced nurses of the blood transfusion department, and preparation of serum samples – by paramedic-laboratory technicians of the blood transfusion department of CCH-6. The time from blood collection to the start of its preanalytical processing was no more than 15 minutes.</w:t>
      </w:r>
    </w:p>
    <w:p>
      <w:pPr>
        <w:spacing w:after="120"/>
      </w:pPr>
      <w:r>
        <w:t xml:space="preserve">The procedure for freezing serum samples was carried out and controlled in accordance with internal laboratory SOP 11-14/1a «Procedure for freezing biological fluid samples», the sample code table form 11-14/1-1 is presented in the appendix to this report. Storage and transportation of preserved serum samples was carried out in accordance with internal laboratory SOP 11-14/2 (during storage and transportation of samples, no procedure violations occurred).</w:t>
      </w:r>
    </w:p>
    <w:p>
      <w:pPr>
        <w:spacing w:after="120"/>
      </w:pPr>
      <w:r>
        <w:t xml:space="preserve">Sample tube labeling:</w:t>
      </w:r>
    </w:p>
    <w:p>
      <w:pPr>
        <w:spacing w:after="80"/>
        <w:ind w:left="720"/>
      </w:pPr>
      <w:r>
        <w:t xml:space="preserve">• D-1 (I)</w:t>
      </w:r>
    </w:p>
    <w:p>
      <w:pPr>
        <w:spacing w:after="80"/>
        <w:ind w:left="720"/>
      </w:pPr>
      <w:r>
        <w:t xml:space="preserve">• D-11* (VII)</w:t>
      </w:r>
    </w:p>
    <w:p>
      <w:pPr>
        <w:spacing w:after="120"/>
      </w:pPr>
      <w:r>
        <w:t xml:space="preserve">*D-01 – D-19 – volunteer code, I-VII – blood sampling stage.</w:t>
      </w:r>
    </w:p>
    <w:p>
      <w:pPr>
        <w:pStyle w:val="Heading1"/>
        <w:spacing w:after="200"/>
        <w:jc w:val="left"/>
      </w:pPr>
      <w:r>
        <w:rPr>
          <w:b/>
          <w:bCs/>
          <w:sz w:val="28"/>
          <w:szCs w:val="28"/>
        </w:rPr>
        <w:t xml:space="preserve">VII. DESCRIPTION OF THE ANALYTICAL METHOD.</w:t>
      </w:r>
    </w:p>
    <w:p>
      <w:pPr>
        <w:spacing w:after="120"/>
      </w:pPr>
      <w:r>
        <w:t xml:space="preserve">Description of the analytical method and validation of the analytical method are presented in the appendix to the report (appendix 7). Validation of the method was carried out in accordance with the requirements of Guidance for Industry. Bioanalytical Method Validation. 2001, which was allowed by the study protocol.</w:t>
      </w:r>
    </w:p>
    <w:p>
      <w:pPr>
        <w:spacing w:after="120"/>
      </w:pPr>
      <w:r>
        <w:t xml:space="preserve">The storage period of samples meets the requirements of the State Pharmacopoeia of the Republic of Belarus, does not contradict the study protocol, was carried out without violation of the temperature regime (freezers at -40°C at the clinical site, -20°C at the analytical site), ensuring sample stability throughout the entire storage period.</w:t>
      </w:r>
    </w:p>
    <w:p>
      <w:pPr>
        <w:pStyle w:val="Heading1"/>
        <w:spacing w:after="200"/>
        <w:jc w:val="left"/>
      </w:pPr>
      <w:r>
        <w:rPr>
          <w:b/>
          <w:bCs/>
          <w:sz w:val="28"/>
          <w:szCs w:val="28"/>
        </w:rPr>
        <w:t xml:space="preserve">VIII. DESCRIPTION OF THE PHARMACOKINETIC ANALYSIS PROCEDURE.</w:t>
      </w:r>
    </w:p>
    <w:p>
      <w:pPr>
        <w:spacing w:after="120"/>
      </w:pPr>
      <w:r>
        <w:t xml:space="preserve">Pharmacokinetic analysis was carried out using a nonlinear analysis package (section «user-defined regression») of the program «Statistica v.6.0» (StatSoft Inc.) in accordance with:</w:t>
      </w:r>
    </w:p>
    <w:p>
      <w:pPr>
        <w:spacing w:after="80"/>
        <w:ind w:left="720"/>
      </w:pPr>
      <w:r>
        <w:t xml:space="preserve">• Methodological guidelines «Conducting quality studies of bioequivalence of medicinal products» approved by the Ministry of Health of the Russian Federation (10.08.2004).</w:t>
      </w:r>
    </w:p>
    <w:p>
      <w:pPr>
        <w:spacing w:after="80"/>
        <w:ind w:left="720"/>
      </w:pPr>
      <w:r>
        <w:t xml:space="preserve">• State Pharmacopoeia of the Republic of Belarus. Vol. 1. General methods of quality control of medicinal products. 5.8. Bioavailability and bioequivalence of generic medicinal products. / Center for Expertise and Testing in Healthcare; ed. G.V. Godovalnikov – Minsk: Minsk State PTK of Printing, 2006. – P. 580-597.</w:t>
      </w:r>
    </w:p>
    <w:p>
      <w:pPr>
        <w:spacing w:after="80"/>
        <w:ind w:left="720"/>
      </w:pPr>
      <w:r>
        <w:t xml:space="preserve">• Guideline 42-7.1:2005 «Guideline on clinical studies. Medicinal products. Investigation of bioequivalence and bioavailability.» - Ministry of Health of Ukraine, Kyiv. – 2005.</w:t>
      </w:r>
    </w:p>
    <w:p>
      <w:pPr>
        <w:spacing w:after="80"/>
        <w:ind w:left="720"/>
      </w:pPr>
      <w:r>
        <w:t xml:space="preserve">• CPMP/EWP/QWP/1401/98 Note for Guidance on the Investigation of Bioavailability and Bioequivalence. – 2001.</w:t>
      </w:r>
    </w:p>
    <w:p>
      <w:pPr>
        <w:spacing w:after="120"/>
      </w:pPr>
      <w:r>
        <w:t xml:space="preserve">Based on the obtained data on the concentration of the components of the tested product (T) and the reference product (R) in blood serum at discrete time intervals, regression equations were calculated for each volunteer.</w:t>
      </w:r>
    </w:p>
    <w:p>
      <w:pPr>
        <w:spacing w:after="120"/>
      </w:pPr>
      <w:r>
        <w:t xml:space="preserve">The pharmacokinetic equation had the form C(t) = B(e⁻ᵏᵉˡᵗ − e⁻ᵏ⁰¹ᵗ) (one-compartment pharmacokinetic model with absorption), where:</w:t>
      </w:r>
    </w:p>
    <w:p>
      <w:pPr>
        <w:spacing w:after="80"/>
        <w:ind w:left="720"/>
      </w:pPr>
      <w:r>
        <w:t xml:space="preserve">• B – model constant;</w:t>
      </w:r>
    </w:p>
    <w:p>
      <w:pPr>
        <w:spacing w:after="80"/>
        <w:ind w:left="720"/>
      </w:pPr>
      <w:r>
        <w:t xml:space="preserve">• e – base of natural logarithms;</w:t>
      </w:r>
    </w:p>
    <w:p>
      <w:pPr>
        <w:spacing w:after="80"/>
        <w:ind w:left="720"/>
      </w:pPr>
      <w:r>
        <w:t xml:space="preserve">• k_el – elimination constant;</w:t>
      </w:r>
    </w:p>
    <w:p>
      <w:pPr>
        <w:spacing w:after="80"/>
        <w:ind w:left="720"/>
      </w:pPr>
      <w:r>
        <w:t xml:space="preserve">• k₀₁ – absorption constant;</w:t>
      </w:r>
    </w:p>
    <w:p>
      <w:pPr>
        <w:spacing w:after="80"/>
        <w:ind w:left="720"/>
      </w:pPr>
      <w:r>
        <w:t xml:space="preserve">• t – time after administration of the product.</w:t>
      </w:r>
    </w:p>
    <w:p>
      <w:pPr>
        <w:spacing w:after="120"/>
      </w:pPr>
      <w:r>
        <w:t xml:space="preserve">To estimate the constants of the pharmacokinetic equation by the least squares method with subsequent logarithmization, simplex and/or quasi-Newton calculation algorithms were used:</w:t>
      </w:r>
    </w:p>
    <w:p>
      <w:pPr>
        <w:spacing w:after="120"/>
      </w:pPr>
      <w:r>
        <w:t xml:space="preserve">*Analysis of lansoprazole kinetics equations when administered fasting.*</w:t>
      </w:r>
    </w:p>
    <w:p>
      <w:pPr>
        <w:spacing w:after="120"/>
      </w:pPr>
      <w:r>
        <w:t xml:space="preserve">The maximum number of iterations did not exceed 150 steps, the convergence criterion was taken equal to 0.001, the initial values of all pre-exponential constants (B) were taken equal to 2000.0; values of exponential constants (k_el and k₀₁) – 0.01; the size of the first iteration step for B was 500.0, for exponential constants – 0.005.</w:t>
      </w:r>
    </w:p>
    <w:p>
      <w:pPr>
        <w:spacing w:after="120"/>
      </w:pPr>
      <w:r>
        <w:t xml:space="preserve">*Analysis of lansoprazole kinetics equations when administered after meals.*</w:t>
      </w:r>
    </w:p>
    <w:p>
      <w:pPr>
        <w:spacing w:after="120"/>
      </w:pPr>
      <w:r>
        <w:t xml:space="preserve">The maximum number of iterations did not exceed 150 steps, the convergence criterion was taken equal to 0.001, the initial values of all pre-exponential constants (B) were taken equal to 5000.0; values of exponential constants (k_el and k₀₁) – 0.01; the size of the first iteration step for B was 500.0, for exponential constants – 0.005.</w:t>
      </w:r>
    </w:p>
    <w:p>
      <w:pPr>
        <w:spacing w:after="120"/>
      </w:pPr>
      <w:r>
        <w:t xml:space="preserve">After averaging the data on the concentration of product components in volunteers, as well as after checking the reliability of the results of the individual sample by the t-criterion, the parameters of the analogous pharmacokinetic equation were calculated for the average concentration indicators and the pharmacokinetic profile was constructed according to the average drug concentrations (from the tested product and the reference product) in the "average" volunteer.</w:t>
      </w:r>
    </w:p>
    <w:p>
      <w:pPr>
        <w:spacing w:after="120"/>
      </w:pPr>
      <w:r>
        <w:t xml:space="preserve">This pharmacokinetic equation was considered reliable at k₀₁:k_el = 2:1 and above, which was dictated by the specifics of the method for calculating pharmacokinetic indicators of the equation.</w:t>
      </w:r>
    </w:p>
    <w:p>
      <w:pPr>
        <w:spacing w:after="120"/>
      </w:pPr>
      <w:r>
        <w:t xml:space="preserve">Based on the obtained regression equations and experimental data, the basic parameters were calculated:</w:t>
      </w:r>
    </w:p>
    <w:p>
      <w:pPr>
        <w:spacing w:after="80"/>
        <w:ind w:left="720"/>
      </w:pPr>
      <w:r>
        <w:t xml:space="preserve">• AUC_t area under the pharmacokinetic curve until the end of the study (8 hours) by the method of simple trapezoids: AUC_t = ½ Σᵢ₌ₙⁱ₌¹ [(Cᵢ₋₁ + Cᵢ) × (tᵢ - tᵢ₋₁)]</w:t>
      </w:r>
    </w:p>
    <w:p>
      <w:pPr>
        <w:spacing w:after="80"/>
        <w:ind w:left="720"/>
      </w:pPr>
      <w:r>
        <w:t xml:space="preserve">• AUC_∞ area under the pharmacokinetic curve (with extrapolation of the curve to "infinity") AUC_∞ = AUC_t + C₈/β.</w:t>
      </w:r>
    </w:p>
    <w:p>
      <w:pPr>
        <w:spacing w:after="120"/>
      </w:pPr>
      <w:r>
        <w:t xml:space="preserve">Additionally, by the experimental method, the following were determined:</w:t>
      </w:r>
    </w:p>
    <w:p>
      <w:pPr>
        <w:spacing w:after="80"/>
        <w:ind w:left="720"/>
      </w:pPr>
      <w:r>
        <w:t xml:space="preserve">• t_max – time to reach maximum concentration (time of registration of maximum concentration in the volunteer).</w:t>
      </w:r>
    </w:p>
    <w:p>
      <w:pPr>
        <w:spacing w:after="80"/>
        <w:ind w:left="720"/>
      </w:pPr>
      <w:r>
        <w:t xml:space="preserve">• C_max maximum concentration of the product in blood serum (maximum registered concentration of the product in the volunteer).</w:t>
      </w:r>
    </w:p>
    <w:p>
      <w:pPr>
        <w:spacing w:after="120"/>
      </w:pPr>
      <w:r>
        <w:t xml:space="preserve">Next, the bioavailability parameters f, f', f'' were determined, as well as the ratios C_max/AUC_t and C_max/AUC_∞, characterizing the absorption rate. The obtained data were used to assess the significance of differences between pharmacokinetic profiles of the tested product and the reference product. For calculating criteria, the following ratios were applied:</w:t>
      </w:r>
    </w:p>
    <w:p>
      <w:pPr>
        <w:spacing w:after="80"/>
        <w:ind w:left="720"/>
      </w:pPr>
      <w:r>
        <w:t xml:space="preserve">• f = AUC_∞,T / AUC_∞,R *;</w:t>
      </w:r>
    </w:p>
    <w:p>
      <w:pPr>
        <w:spacing w:after="80"/>
        <w:ind w:left="720"/>
      </w:pPr>
      <w:r>
        <w:t xml:space="preserve">• f' = AUC_t,T / AUC_t,R;</w:t>
      </w:r>
    </w:p>
    <w:p>
      <w:pPr>
        <w:spacing w:after="80"/>
        <w:ind w:left="720"/>
      </w:pPr>
      <w:r>
        <w:t xml:space="preserve">• f'' = C_max,T / C_max,R.</w:t>
      </w:r>
    </w:p>
    <w:p>
      <w:pPr>
        <w:spacing w:after="120"/>
      </w:pPr>
      <w:r>
        <w:t xml:space="preserve">Assessment of parameters f and f' was performed only after logarithmic transformation of the data:</w:t>
      </w:r>
    </w:p>
    <w:p>
      <w:pPr>
        <w:spacing w:after="80"/>
        <w:ind w:left="720"/>
      </w:pPr>
      <w:r>
        <w:t xml:space="preserve">• ln f = ln AUC_∞,T − ln AUC_∞,R;</w:t>
      </w:r>
    </w:p>
    <w:p>
      <w:pPr>
        <w:spacing w:after="80"/>
        <w:ind w:left="720"/>
      </w:pPr>
      <w:r>
        <w:t xml:space="preserve">• ln f' = ln AUC_t,T − ln AUC_t,R;</w:t>
      </w:r>
    </w:p>
    <w:p>
      <w:pPr>
        <w:spacing w:after="80"/>
        <w:ind w:left="720"/>
      </w:pPr>
      <w:r>
        <w:t xml:space="preserve">• ln f'' = ln C_max,T − ln C_max,R.</w:t>
      </w:r>
    </w:p>
    <w:p>
      <w:pPr>
        <w:spacing w:after="120"/>
      </w:pPr>
      <w:r>
        <w:t xml:space="preserve">Thus, in the final assessment, the parameters f'', C_max/AUC_t and C_max/AUC_∞ were evaluated according to arithmetic means, and the parameters f, f' – according to geometric means (as follows from the definition of the geometric mean).</w:t>
      </w:r>
    </w:p>
    <w:p>
      <w:pPr>
        <w:spacing w:after="120"/>
      </w:pPr>
      <w:r>
        <w:t xml:space="preserve">With sufficient observation duration, when AUC_t &gt; 80% AUC_∞, for assessing the completeness of absorption and biological equivalence of the tested product, AUC_t values were used, and in the case that AUC_t &lt; 80% AUC_∞ – AUC_∞ values [2,10,17].</w:t>
      </w:r>
    </w:p>
    <w:p>
      <w:pPr>
        <w:spacing w:after="120"/>
      </w:pPr>
      <w:r>
        <w:t xml:space="preserve">The hypothesis of bioequivalence of the tested product and the reference product was accepted if the following criteria of bioequivalence were met [2,10,17]:</w:t>
      </w:r>
    </w:p>
    <w:p>
      <w:pPr>
        <w:spacing w:after="80"/>
        <w:ind w:left="720"/>
      </w:pPr>
      <w:r>
        <w:t xml:space="preserve">1. 90% confidence intervals (at error size α=0.05 or p=0.95 with two-sided confidence interval estimate and method power 1-β=0.8) for f, f' are in the range 0.8-1.25 (which with logarithmic transformation of data corresponds to the symmetric interval -0.223 ÷ 0.223), the confidence interval for f'' is in the range 0.7-1.43 (which with logarithmic transformation of data corresponds to the symmetric interval -0.357 ÷ 0.357), in case of high data variability (CV&gt;20%¹) the acceptability limits for all indicators f, f', f'' are expanded to 0.7-1.43 (which with logarithmic transformation of data corresponds to the symmetric interval -0.357 ÷ 0.357), and:</w:t>
      </w:r>
    </w:p>
    <w:p>
      <w:pPr>
        <w:spacing w:after="80"/>
        <w:ind w:left="720"/>
      </w:pPr>
      <w:r>
        <w:t xml:space="preserve">2. Differences in C_max/AUC_t and/or C_max/AUC_∞ are unreliable.</w:t>
      </w:r>
    </w:p>
    <w:p>
      <w:pPr>
        <w:spacing w:after="80"/>
        <w:ind w:left="720"/>
      </w:pPr>
      <w:r>
        <w:t xml:space="preserve">3. In single-factor analysis of variance of indicators C_max, AUC_t and AUC_∞, no statistically significant differences are found either between products or between the sequence of their administration (trial periods).</w:t>
      </w:r>
    </w:p>
    <w:p>
      <w:pPr>
        <w:pStyle w:val="Heading1"/>
        <w:spacing w:after="200"/>
        <w:jc w:val="left"/>
      </w:pPr>
      <w:r>
        <w:rPr>
          <w:b/>
          <w:bCs/>
          <w:sz w:val="28"/>
          <w:szCs w:val="28"/>
        </w:rPr>
        <w:t xml:space="preserve">IX. STATISTICAL DATA PROCESSING PROCEDURE.</w:t>
      </w:r>
    </w:p>
    <w:p>
      <w:pPr>
        <w:spacing w:after="120"/>
      </w:pPr>
      <w:r>
        <w:t xml:space="preserve">Experimental data in the report were presented in the form X̄ ± s, where</w:t>
      </w:r>
    </w:p>
    <w:p>
      <w:pPr>
        <w:spacing w:after="80"/>
        <w:ind w:left="720"/>
      </w:pPr>
      <w:r>
        <w:t xml:space="preserve">• X̄ = ΣX/n – sample arithmetic mean</w:t>
      </w:r>
    </w:p>
    <w:p>
      <w:pPr>
        <w:spacing w:after="80"/>
        <w:ind w:left="720"/>
      </w:pPr>
      <w:r>
        <w:t xml:space="preserve">• s = √[Σ(X - X̄)²/(n-1)] – sample standard deviation</w:t>
      </w:r>
    </w:p>
    <w:p>
      <w:pPr>
        <w:spacing w:after="120"/>
      </w:pPr>
      <w:r>
        <w:t xml:space="preserve">For parameters f, f' and f'' after logarithmic transformation of f, f' the geometric mean, standard error of the mean and confidence interval were also calculated, where:</w:t>
      </w:r>
    </w:p>
    <w:p>
      <w:pPr>
        <w:spacing w:after="80"/>
        <w:ind w:left="720"/>
      </w:pPr>
      <w:r>
        <w:t xml:space="preserve">• ln G = 1/n × Σ ln fº – geometric mean of parameters f or f' depending on the index</w:t>
      </w:r>
    </w:p>
    <w:p>
      <w:pPr>
        <w:spacing w:after="80"/>
        <w:ind w:left="720"/>
      </w:pPr>
      <w:r>
        <w:t xml:space="preserve">• s_X̄ = s/√n – standard error;</w:t>
      </w:r>
    </w:p>
    <w:p>
      <w:pPr>
        <w:spacing w:after="80"/>
        <w:ind w:left="720"/>
      </w:pPr>
      <w:r>
        <w:t xml:space="preserve">• ±t_α s_X̄ – two-sided confidence interval for ν=2(n-1) degrees of freedom at significance level α=0.05 (for a sample of 19 volunteers t_α=2.042-2.045).</w:t>
      </w:r>
    </w:p>
    <w:p>
      <w:pPr>
        <w:spacing w:after="120"/>
      </w:pPr>
      <w:r>
        <w:t xml:space="preserve">Reliability assessment was performed on the basis of analysis of variance (one-factor parametric ANOVA analysis). In this case, the null hypothesis was taken as the assumption of the absence of differences in the studied samples, after which the values of intra-group (s²_int) and inter-group (s²_inter) variances, as well as the Fisher criterion (F), were calculated.</w:t>
      </w:r>
    </w:p>
    <w:p>
      <w:pPr>
        <w:spacing w:after="120"/>
      </w:pPr>
      <w:r>
        <w:t xml:space="preserve">The assessment of s²_inter characterized the diversity of sample means of each of the groups. The indicator s²_int allowed assessing the degree of variance diversity of each of the data groups. The calculation was based on the following formulas:</w:t>
      </w:r>
    </w:p>
    <w:p>
      <w:pPr>
        <w:spacing w:after="120"/>
      </w:pPr>
      <w:r>
        <w:t xml:space="preserve">s²_int = Σ(nᵢ - 1)sᵢ²          for ν_int = Σnᵢ - k;</w:t>
      </w:r>
    </w:p>
    <w:p>
      <w:pPr>
        <w:spacing w:after="120"/>
      </w:pPr>
      <w:r>
        <w:t xml:space="preserve">s²_inter = ΣnᵢX̄ᵢ² - (ΣnᵢX̄ᵢ)²/Σnᵢ   for ν_inter = k - 1;</w:t>
      </w:r>
    </w:p>
    <w:p>
      <w:pPr>
        <w:spacing w:after="120"/>
      </w:pPr>
      <w:r>
        <w:t xml:space="preserve">F = (s²_inter/ν_inter) / (s²_int/ν_int),</w:t>
      </w:r>
    </w:p>
    <w:p>
      <w:pPr>
        <w:spacing w:after="120"/>
      </w:pPr>
      <w:r>
        <w:t xml:space="preserve">where nᵢ – sample size of the i-th group,</w:t>
      </w:r>
    </w:p>
    <w:p>
      <w:pPr>
        <w:spacing w:after="120"/>
      </w:pPr>
      <w:r>
        <w:t xml:space="preserve">sᵢ² – standard deviation in the i-th group,</w:t>
      </w:r>
    </w:p>
    <w:p>
      <w:pPr>
        <w:spacing w:after="120"/>
      </w:pPr>
      <w:r>
        <w:t xml:space="preserve">ν – number of degrees of freedom for the corresponding variance,</w:t>
      </w:r>
    </w:p>
    <w:p>
      <w:pPr>
        <w:spacing w:after="120"/>
      </w:pPr>
      <w:r>
        <w:t xml:space="preserve">k – number of groups being compared,</w:t>
      </w:r>
    </w:p>
    <w:p>
      <w:pPr>
        <w:spacing w:after="120"/>
      </w:pPr>
      <w:r>
        <w:t xml:space="preserve">X̄ᵢ – mean in the i-th group.</w:t>
      </w:r>
    </w:p>
    <w:p>
      <w:pPr>
        <w:spacing w:after="120"/>
      </w:pPr>
      <w:r>
        <w:t xml:space="preserve">The statistical model of analysis of variance included as grouping variants:</w:t>
      </w:r>
    </w:p>
    <w:p>
      <w:pPr>
        <w:spacing w:after="120"/>
      </w:pPr>
      <w:r>
        <w:t xml:space="preserve">→ type of product taken by the volunteer (assessed differences between products and inter-individual differences of volunteers) – T/R;</w:t>
      </w:r>
    </w:p>
    <w:p>
      <w:pPr>
        <w:spacing w:after="120"/>
      </w:pPr>
      <w:r>
        <w:t xml:space="preserve">→ trial design (sequence of product administration) – TR/RT;</w:t>
      </w:r>
    </w:p>
    <w:p>
      <w:pPr>
        <w:spacing w:after="120"/>
      </w:pPr>
      <w:r>
        <w:t xml:space="preserve">→ type of product depending on the sequence of trial periods – 1 and 2 periods.</w:t>
      </w:r>
    </w:p>
    <w:p>
      <w:pPr>
        <w:spacing w:after="120"/>
      </w:pPr>
      <w:r>
        <w:t xml:space="preserve">Reliability of differences in C_max/AUC_t and/or C_max/AUC_∞ was additionally performed by comparing 2 groups using the one-sided Student's t-criterion: t = (X̄_R - X̄_T) / √(s²_X̄_R + s²_X̄_T),</w:t>
      </w:r>
    </w:p>
    <w:p>
      <w:pPr>
        <w:spacing w:after="120"/>
      </w:pPr>
      <w:r>
        <w:t xml:space="preserve">differences were considered significant if the calculated t value satisfied the conditions: t&gt;t_α, where t_α is the critical value of the Student's t-criterion for ν=2(n-1) degrees of freedom at significance level α=0.1 (for a sample of 19 volunteers t_α=2.042-2.045).</w:t>
      </w:r>
    </w:p>
    <w:p>
      <w:pPr>
        <w:pStyle w:val="Heading1"/>
        <w:spacing w:after="200"/>
        <w:jc w:val="left"/>
      </w:pPr>
      <w:r>
        <w:rPr>
          <w:b/>
          <w:bCs/>
          <w:sz w:val="28"/>
          <w:szCs w:val="28"/>
        </w:rPr>
        <w:t xml:space="preserve">X. RESULTS OF BIOEQUIVALENCE ASSESSMENT AND THEIR INTERPRETATION.</w:t>
      </w:r>
    </w:p>
    <w:p>
      <w:pPr>
        <w:pStyle w:val="Heading2"/>
        <w:spacing w:after="200"/>
        <w:jc w:val="left"/>
      </w:pPr>
      <w:r>
        <w:rPr>
          <w:b/>
          <w:bCs/>
          <w:sz w:val="24"/>
          <w:szCs w:val="24"/>
        </w:rPr>
        <w:t xml:space="preserve">BIOEQUIVALENCE OF LANSOPRAZOLE WHEN ADMINISTERED FASTING</w:t>
      </w:r>
    </w:p>
    <w:p>
      <w:pPr>
        <w:spacing w:after="80"/>
        <w:ind w:left="720"/>
      </w:pPr>
      <w:r>
        <w:t xml:space="preserve">1. The results obtained for the determination of LANSOPRAZOLE after administration of the products LANSASOL manufactured by OAO «Borisovsky Plant of Medical Preparations» (REPUBLIC OF BELARUS) and LANZOPTOL KRKA, d.d. (SLOVENIA) in all volunteers are adequately described by a one-compartment pharmacokinetic model with absorption C(t) = B(e⁻ᵏᵉˡᵗ − e⁻ᵏ⁰¹ᵗ). The coefficients of the resulting equations calculated by the Simplex and/or quasi-Newton method satisfy the condition p&lt;0.05.</w:t>
      </w:r>
    </w:p>
    <w:p>
      <w:pPr>
        <w:spacing w:after="80"/>
        <w:ind w:left="720"/>
      </w:pPr>
      <w:r>
        <w:t xml:space="preserve">2. The pharmacokinetic profile of lansoprazole from LANSASOL manufactured by OAO «Borisovsky Plant of Medical Preparations» (REPUBLIC OF BELARUS) is described by the equation: C(t)=9358.0×(e⁻⁰·⁴⁴ᵗ - e⁻⁰·⁶⁰ᵗ), and the pharmacokinetic profile of lansoprazole from LANZOPTOL KRKA, d.d. (SLOVENIA) is described by the equation: C(t)=16338.0×(e⁻⁰·⁴⁵ᵗ - e⁻⁰·⁵⁵ᵗ).</w:t>
      </w:r>
    </w:p>
    <w:p>
      <w:pPr>
        <w:spacing w:after="80"/>
        <w:ind w:left="720"/>
      </w:pPr>
      <w:r>
        <w:t xml:space="preserve">3. The arithmetic mean pharmacokinetic profile of lansoprazole from LANSASOL manufactured by OAO «Borisovsky Plant of Medical Preparations» (REPUBLIC OF BELARUS) is described by the equation: C(t)=13216.6×(e⁻⁰·⁸⁰ᵗ - e⁻⁰·⁷⁷ᵗ), for which the values of maximum concentration of the product in blood serum (C_max), time to reach it (t_max), area under the pharmacokinetic curve (AUC) are presented in Table 4.</w:t>
      </w:r>
    </w:p>
    <w:p>
      <w:pPr>
        <w:spacing w:after="120"/>
      </w:pPr>
      <w:r>
        <w:t xml:space="preserve">The arithmetic mean pharmacokinetic profile of lansoprazole from LANZOPTOL KRKA, d.d. (SLOVENIA) is described by the equation: C(t)=16701.2×(e⁻⁰·⁵⁰ᵗ - e⁻⁰·⁷⁴ᵗ), for which the values of maximum concentration of the product in blood serum (C_max), time to reach it (t_max), area under the pharmacokinetic curve (AUC) are presented in Table 4.</w:t>
      </w:r>
    </w:p>
    <w:p>
      <w:pPr>
        <w:pStyle w:val="Heading2"/>
        <w:spacing w:after="200"/>
        <w:jc w:val="left"/>
      </w:pPr>
      <w:r>
        <w:rPr>
          <w:b/>
          <w:bCs/>
          <w:sz w:val="24"/>
          <w:szCs w:val="24"/>
        </w:rPr>
        <w:t xml:space="preserve">Table 4. Pharmacokinetic parameters of lansoprazole.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sz="1"/>
              <w:left w:val="single" w:sz="1"/>
              <w:bottom w:val="single" w:sz="1"/>
              <w:right w:val="single" w:sz="1"/>
            </w:tcBorders>
          </w:tcPr>
          <w:p>
            <w:r>
              <w:rPr>
                <w:b/>
                <w:bCs/>
                <w:sz w:val="20"/>
                <w:szCs w:val="20"/>
              </w:rPr>
              <w:t xml:space="preserve">Parameter</w:t>
            </w:r>
          </w:p>
        </w:tc>
        <w:tc>
          <w:tcPr>
            <w:tcW w:type="pct" w:w="33%"/>
            <w:tcBorders>
              <w:top w:val="single" w:sz="1"/>
              <w:left w:val="single" w:sz="1"/>
              <w:bottom w:val="single" w:sz="1"/>
              <w:right w:val="single" w:sz="1"/>
            </w:tcBorders>
          </w:tcPr>
          <w:p>
            <w:r>
              <w:rPr>
                <w:b/>
                <w:bCs/>
                <w:sz w:val="20"/>
                <w:szCs w:val="20"/>
              </w:rPr>
              <w:t xml:space="preserve">LANSASOL (BoriMed)</w:t>
            </w:r>
          </w:p>
        </w:tc>
        <w:tc>
          <w:tcPr>
            <w:tcW w:type="pct" w:w="33%"/>
            <w:tcBorders>
              <w:top w:val="single" w:sz="1"/>
              <w:left w:val="single" w:sz="1"/>
              <w:bottom w:val="single" w:sz="1"/>
              <w:right w:val="single" w:sz="1"/>
            </w:tcBorders>
          </w:tcPr>
          <w:p>
            <w:r>
              <w:rPr>
                <w:b/>
                <w:bCs/>
                <w:sz w:val="20"/>
                <w:szCs w:val="20"/>
              </w:rPr>
              <w:t xml:space="preserve">LANZOPTOL (KRKA)</w:t>
            </w:r>
          </w:p>
        </w:tc>
      </w:tr>
      <w:tr>
        <w:tc>
          <w:tcPr>
            <w:tcW w:type="pct" w:w="33%"/>
            <w:tcBorders>
              <w:top w:val="single" w:sz="1"/>
              <w:left w:val="single" w:sz="1"/>
              <w:bottom w:val="single" w:sz="1"/>
              <w:right w:val="single" w:sz="1"/>
            </w:tcBorders>
          </w:tcPr>
          <w:p>
            <w:r>
              <w:rPr>
                <w:b w:val="false"/>
                <w:bCs w:val="false"/>
                <w:sz w:val="20"/>
                <w:szCs w:val="20"/>
              </w:rPr>
              <w:t xml:space="preserve">C_max, ng/ml</w:t>
            </w:r>
          </w:p>
        </w:tc>
        <w:tc>
          <w:tcPr>
            <w:tcW w:type="pct" w:w="33%"/>
            <w:tcBorders>
              <w:top w:val="single" w:sz="1"/>
              <w:left w:val="single" w:sz="1"/>
              <w:bottom w:val="single" w:sz="1"/>
              <w:right w:val="single" w:sz="1"/>
            </w:tcBorders>
          </w:tcPr>
          <w:p>
            <w:r>
              <w:rPr>
                <w:b w:val="false"/>
                <w:bCs w:val="false"/>
                <w:sz w:val="20"/>
                <w:szCs w:val="20"/>
              </w:rPr>
              <w:t xml:space="preserve">1675.4±596.0</w:t>
            </w:r>
          </w:p>
        </w:tc>
        <w:tc>
          <w:tcPr>
            <w:tcW w:type="pct" w:w="33%"/>
            <w:tcBorders>
              <w:top w:val="single" w:sz="1"/>
              <w:left w:val="single" w:sz="1"/>
              <w:bottom w:val="single" w:sz="1"/>
              <w:right w:val="single" w:sz="1"/>
            </w:tcBorders>
          </w:tcPr>
          <w:p>
            <w:r>
              <w:rPr>
                <w:b w:val="false"/>
                <w:bCs w:val="false"/>
                <w:sz w:val="20"/>
                <w:szCs w:val="20"/>
              </w:rPr>
              <w:t xml:space="preserve">2125.1±781.9</w:t>
            </w:r>
          </w:p>
        </w:tc>
      </w:tr>
      <w:tr>
        <w:tc>
          <w:tcPr>
            <w:tcW w:type="pct" w:w="33%"/>
            <w:tcBorders>
              <w:top w:val="single" w:sz="1"/>
              <w:left w:val="single" w:sz="1"/>
              <w:bottom w:val="single" w:sz="1"/>
              <w:right w:val="single" w:sz="1"/>
            </w:tcBorders>
          </w:tcPr>
          <w:p>
            <w:r>
              <w:rPr>
                <w:b w:val="false"/>
                <w:bCs w:val="false"/>
                <w:sz w:val="20"/>
                <w:szCs w:val="20"/>
              </w:rPr>
              <w:t xml:space="preserve">t_max, hours</w:t>
            </w:r>
          </w:p>
        </w:tc>
        <w:tc>
          <w:tcPr>
            <w:tcW w:type="pct" w:w="33%"/>
            <w:tcBorders>
              <w:top w:val="single" w:sz="1"/>
              <w:left w:val="single" w:sz="1"/>
              <w:bottom w:val="single" w:sz="1"/>
              <w:right w:val="single" w:sz="1"/>
            </w:tcBorders>
          </w:tcPr>
          <w:p>
            <w:r>
              <w:rPr>
                <w:b w:val="false"/>
                <w:bCs w:val="false"/>
                <w:sz w:val="20"/>
                <w:szCs w:val="20"/>
              </w:rPr>
              <w:t xml:space="preserve">1.9±0.6</w:t>
            </w:r>
          </w:p>
        </w:tc>
        <w:tc>
          <w:tcPr>
            <w:tcW w:type="pct" w:w="33%"/>
            <w:tcBorders>
              <w:top w:val="single" w:sz="1"/>
              <w:left w:val="single" w:sz="1"/>
              <w:bottom w:val="single" w:sz="1"/>
              <w:right w:val="single" w:sz="1"/>
            </w:tcBorders>
          </w:tcPr>
          <w:p>
            <w:r>
              <w:rPr>
                <w:b w:val="false"/>
                <w:bCs w:val="false"/>
                <w:sz w:val="20"/>
                <w:szCs w:val="20"/>
              </w:rPr>
              <w:t xml:space="preserve">1.9±0.8</w:t>
            </w:r>
          </w:p>
        </w:tc>
      </w:tr>
      <w:tr>
        <w:tc>
          <w:tcPr>
            <w:tcW w:type="pct" w:w="33%"/>
            <w:tcBorders>
              <w:top w:val="single" w:sz="1"/>
              <w:left w:val="single" w:sz="1"/>
              <w:bottom w:val="single" w:sz="1"/>
              <w:right w:val="single" w:sz="1"/>
            </w:tcBorders>
          </w:tcPr>
          <w:p>
            <w:r>
              <w:rPr>
                <w:b w:val="false"/>
                <w:bCs w:val="false"/>
                <w:sz w:val="20"/>
                <w:szCs w:val="20"/>
              </w:rPr>
              <w:t xml:space="preserve">AUC₈, ng×hours/ml</w:t>
            </w:r>
          </w:p>
        </w:tc>
        <w:tc>
          <w:tcPr>
            <w:tcW w:type="pct" w:w="33%"/>
            <w:tcBorders>
              <w:top w:val="single" w:sz="1"/>
              <w:left w:val="single" w:sz="1"/>
              <w:bottom w:val="single" w:sz="1"/>
              <w:right w:val="single" w:sz="1"/>
            </w:tcBorders>
          </w:tcPr>
          <w:p>
            <w:r>
              <w:rPr>
                <w:b w:val="false"/>
                <w:bCs w:val="false"/>
                <w:sz w:val="20"/>
                <w:szCs w:val="20"/>
              </w:rPr>
              <w:t xml:space="preserve">4756.9±2961.0</w:t>
            </w:r>
          </w:p>
        </w:tc>
        <w:tc>
          <w:tcPr>
            <w:tcW w:type="pct" w:w="33%"/>
            <w:tcBorders>
              <w:top w:val="single" w:sz="1"/>
              <w:left w:val="single" w:sz="1"/>
              <w:bottom w:val="single" w:sz="1"/>
              <w:right w:val="single" w:sz="1"/>
            </w:tcBorders>
          </w:tcPr>
          <w:p>
            <w:r>
              <w:rPr>
                <w:b w:val="false"/>
                <w:bCs w:val="false"/>
                <w:sz w:val="20"/>
                <w:szCs w:val="20"/>
              </w:rPr>
              <w:t xml:space="preserve">5570.5±3135.6</w:t>
            </w:r>
          </w:p>
        </w:tc>
      </w:tr>
      <w:tr>
        <w:tc>
          <w:tcPr>
            <w:tcW w:type="pct" w:w="33%"/>
            <w:tcBorders>
              <w:top w:val="single" w:sz="1"/>
              <w:left w:val="single" w:sz="1"/>
              <w:bottom w:val="single" w:sz="1"/>
              <w:right w:val="single" w:sz="1"/>
            </w:tcBorders>
          </w:tcPr>
          <w:p>
            <w:r>
              <w:rPr>
                <w:b w:val="false"/>
                <w:bCs w:val="false"/>
                <w:sz w:val="20"/>
                <w:szCs w:val="20"/>
              </w:rPr>
              <w:t xml:space="preserve">AUC_∞, ng×hours/ml</w:t>
            </w:r>
          </w:p>
        </w:tc>
        <w:tc>
          <w:tcPr>
            <w:tcW w:type="pct" w:w="33%"/>
            <w:tcBorders>
              <w:top w:val="single" w:sz="1"/>
              <w:left w:val="single" w:sz="1"/>
              <w:bottom w:val="single" w:sz="1"/>
              <w:right w:val="single" w:sz="1"/>
            </w:tcBorders>
          </w:tcPr>
          <w:p>
            <w:r>
              <w:rPr>
                <w:b w:val="false"/>
                <w:bCs w:val="false"/>
                <w:sz w:val="20"/>
                <w:szCs w:val="20"/>
              </w:rPr>
              <w:t xml:space="preserve">5223.0±3756.9</w:t>
            </w:r>
          </w:p>
        </w:tc>
        <w:tc>
          <w:tcPr>
            <w:tcW w:type="pct" w:w="33%"/>
            <w:tcBorders>
              <w:top w:val="single" w:sz="1"/>
              <w:left w:val="single" w:sz="1"/>
              <w:bottom w:val="single" w:sz="1"/>
              <w:right w:val="single" w:sz="1"/>
            </w:tcBorders>
          </w:tcPr>
          <w:p>
            <w:r>
              <w:rPr>
                <w:b w:val="false"/>
                <w:bCs w:val="false"/>
                <w:sz w:val="20"/>
                <w:szCs w:val="20"/>
              </w:rPr>
              <w:t xml:space="preserve">6068.6±3760.1</w:t>
            </w:r>
          </w:p>
        </w:tc>
      </w:tr>
    </w:tbl>
    <w:p>
      <w:pPr>
        <w:pStyle w:val="Heading2"/>
        <w:spacing w:after="200"/>
        <w:jc w:val="left"/>
      </w:pPr>
      <w:r>
        <w:rPr>
          <w:b/>
          <w:bCs/>
          <w:sz w:val="24"/>
          <w:szCs w:val="24"/>
        </w:rPr>
        <w:t xml:space="preserve">STATISTICAL ANALYSIS OF BIOEQUIVALENCE INDICATORS OF LANSOPRAZOLE WHEN ADMINISTERED FASTING</w:t>
      </w:r>
    </w:p>
    <w:p>
      <w:pPr>
        <w:spacing w:after="120"/>
      </w:pPr>
      <w:r>
        <w:t xml:space="preserve">The results of analysis of variance of calculated pharmacokinetic parameters are presented in Appendix 2 (tables «Analysis of Variance»).</w:t>
      </w:r>
    </w:p>
    <w:p>
      <w:pPr>
        <w:spacing w:after="120"/>
      </w:pPr>
      <w:r>
        <w:t xml:space="preserve">When determining the type of product taken as a grouping characteristic, no statistically significant differences were found for any of the parameters C_max, AUC_t, AUC_∞. When conducting the normality analysis (log-normality) of variance distribution in samples by Levene's test, the variance distribution did not significantly differ from normal (p&gt;0.05) for any of the parameters C_max, AUC_t, AUC_∞.</w:t>
      </w:r>
    </w:p>
    <w:p>
      <w:pPr>
        <w:spacing w:after="120"/>
      </w:pPr>
      <w:r>
        <w:t xml:space="preserve">When determining the trial design (scheme of product administration sequence) as a grouping characteristic, no statistically significant differences were found for any of the parameters C_max, AUC_t, AUC_∞. When conducting the normality analysis (log-normality) of variance distribution in samples by Levene's test, the variance distribution did not significantly differ from normal (p&gt;0.05) for any of the parameters C_max, AUC_t, AUC_∞.</w:t>
      </w:r>
    </w:p>
    <w:p>
      <w:pPr>
        <w:spacing w:after="120"/>
      </w:pPr>
      <w:r>
        <w:t xml:space="preserve">When determining the type of product depending on the sequence of trial periods as a grouping characteristic, no statistically significant differences were found for any of the parameters C_max, AUC_t, AUC_∞. When conducting the normality analysis (log-normality) of variance distribution in samples by Levene's test, the variance distribution did not significantly differ from normal (p&gt;0.05) for any of the parameters C_max, AUC_t, AUC_∞.</w:t>
      </w:r>
    </w:p>
    <w:p>
      <w:pPr>
        <w:spacing w:after="120"/>
      </w:pPr>
      <w:r>
        <w:t xml:space="preserve">When determining the combined type of product taken, trial design (scheme of product administration sequence) and type of product depending on the sequence of trial periods as a grouping characteristic, no statistically significant differences were found for any of the parameters C_max, AUC_t, AUC_∞. When conducting the normality analysis (log-normality) of variance distribution in samples by Levene's test, the variance distribution did not significantly differ from normal (p&gt;0.05) for any of the parameters C_max, AUC_t, AUC_∞.</w:t>
      </w:r>
    </w:p>
    <w:p>
      <w:pPr>
        <w:spacing w:after="120"/>
      </w:pPr>
      <w:r>
        <w:t xml:space="preserve">The calculation of bioequivalence criteria and reliability of differences in the absorption rate of lansoprazole from the products LANSASOL manufactured by OAO «Borisovsky Plant of Medical Preparations» (REPUBLIC OF BELARUS) and LANZOPTOL KRKA, d.d. (SLOVENIA), performed according to the average pharmacokinetic characteristics of products in healthy volunteers is presented in Tables 5 and 6.</w:t>
      </w:r>
    </w:p>
    <w:p>
      <w:pPr>
        <w:spacing w:after="120"/>
      </w:pPr>
      <w:r>
        <w:t xml:space="preserve">The intra-individual variation of all indicators estimated by the coefficient of variation, despite the exclusion of slow metabolizers of lansoprazole, amounted to 28.0%, 26.8% and 26.7% respectively, i.e. in all cases exceeded 20%, which allowed expanding the acceptability criteria of bioequivalence for indicators f, f', f'' to 0.7-1.43 (with logarithmic transformation of data corresponds to the symmetric interval -0.357 ÷ 0.357) [2,10,17].</w:t>
      </w:r>
    </w:p>
    <w:p>
      <w:pPr>
        <w:pStyle w:val="Heading2"/>
        <w:spacing w:after="200"/>
        <w:jc w:val="left"/>
      </w:pPr>
      <w:r>
        <w:rPr>
          <w:b/>
          <w:bCs/>
          <w:sz w:val="24"/>
          <w:szCs w:val="24"/>
        </w:rPr>
        <w:t xml:space="preserve">Table 5. Bioequivalence indicators of lansoprazole from tested products.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tcPr>
          <w:p>
            <w:r>
              <w:rPr>
                <w:b/>
                <w:bCs/>
                <w:sz w:val="20"/>
                <w:szCs w:val="20"/>
              </w:rPr>
              <w:t xml:space="preserve">Bioavailability parameter</w:t>
            </w:r>
          </w:p>
        </w:tc>
        <w:tc>
          <w:tcPr>
            <w:tcW w:type="pct" w:w="25%"/>
            <w:tcBorders>
              <w:top w:val="single" w:sz="1"/>
              <w:left w:val="single" w:sz="1"/>
              <w:bottom w:val="single" w:sz="1"/>
              <w:right w:val="single" w:sz="1"/>
            </w:tcBorders>
          </w:tcPr>
          <w:p>
            <w:r>
              <w:rPr>
                <w:b/>
                <w:bCs/>
                <w:sz w:val="20"/>
                <w:szCs w:val="20"/>
              </w:rPr>
              <w:t xml:space="preserve">f''</w:t>
            </w:r>
          </w:p>
        </w:tc>
        <w:tc>
          <w:tcPr>
            <w:tcW w:type="pct" w:w="25%"/>
            <w:tcBorders>
              <w:top w:val="single" w:sz="1"/>
              <w:left w:val="single" w:sz="1"/>
              <w:bottom w:val="single" w:sz="1"/>
              <w:right w:val="single" w:sz="1"/>
            </w:tcBorders>
          </w:tcPr>
          <w:p>
            <w:r>
              <w:rPr>
                <w:b/>
                <w:bCs/>
                <w:sz w:val="20"/>
                <w:szCs w:val="20"/>
              </w:rPr>
              <w:t xml:space="preserve">f'*</w:t>
            </w:r>
          </w:p>
        </w:tc>
        <w:tc>
          <w:tcPr>
            <w:tcW w:type="pct" w:w="25%"/>
            <w:tcBorders>
              <w:top w:val="single" w:sz="1"/>
              <w:left w:val="single" w:sz="1"/>
              <w:bottom w:val="single" w:sz="1"/>
              <w:right w:val="single" w:sz="1"/>
            </w:tcBorders>
          </w:tcPr>
          <w:p>
            <w:r>
              <w:rPr>
                <w:b/>
                <w:bCs/>
                <w:sz w:val="20"/>
                <w:szCs w:val="20"/>
              </w:rPr>
              <w:t xml:space="preserve">f*</w:t>
            </w:r>
          </w:p>
        </w:tc>
      </w:tr>
      <w:tr>
        <w:tc>
          <w:tcPr>
            <w:tcW w:type="pct" w:w="25%"/>
            <w:tcBorders>
              <w:top w:val="single" w:sz="1"/>
              <w:left w:val="single" w:sz="1"/>
              <w:bottom w:val="single" w:sz="1"/>
              <w:right w:val="single" w:sz="1"/>
            </w:tcBorders>
          </w:tcPr>
          <w:p>
            <w:r>
              <w:rPr>
                <w:b w:val="false"/>
                <w:bCs w:val="false"/>
                <w:sz w:val="20"/>
                <w:szCs w:val="20"/>
              </w:rPr>
              <w:t xml:space="preserve">Mean</w:t>
            </w:r>
          </w:p>
        </w:tc>
        <w:tc>
          <w:tcPr>
            <w:tcW w:type="pct" w:w="25%"/>
            <w:tcBorders>
              <w:top w:val="single" w:sz="1"/>
              <w:left w:val="single" w:sz="1"/>
              <w:bottom w:val="single" w:sz="1"/>
              <w:right w:val="single" w:sz="1"/>
            </w:tcBorders>
          </w:tcPr>
          <w:p>
            <w:r>
              <w:rPr>
                <w:b w:val="false"/>
                <w:bCs w:val="false"/>
                <w:sz w:val="20"/>
                <w:szCs w:val="20"/>
              </w:rPr>
              <w:t xml:space="preserve">-0.216±0.332</w:t>
            </w:r>
          </w:p>
        </w:tc>
        <w:tc>
          <w:tcPr>
            <w:tcW w:type="pct" w:w="25%"/>
            <w:tcBorders>
              <w:top w:val="single" w:sz="1"/>
              <w:left w:val="single" w:sz="1"/>
              <w:bottom w:val="single" w:sz="1"/>
              <w:right w:val="single" w:sz="1"/>
            </w:tcBorders>
          </w:tcPr>
          <w:p>
            <w:r>
              <w:rPr>
                <w:b w:val="false"/>
                <w:bCs w:val="false"/>
                <w:sz w:val="20"/>
                <w:szCs w:val="20"/>
              </w:rPr>
              <w:t xml:space="preserve">-0.168±0.305</w:t>
            </w:r>
          </w:p>
        </w:tc>
        <w:tc>
          <w:tcPr>
            <w:tcW w:type="pct" w:w="25%"/>
            <w:tcBorders>
              <w:top w:val="single" w:sz="1"/>
              <w:left w:val="single" w:sz="1"/>
              <w:bottom w:val="single" w:sz="1"/>
              <w:right w:val="single" w:sz="1"/>
            </w:tcBorders>
          </w:tcPr>
          <w:p>
            <w:r>
              <w:rPr>
                <w:b w:val="false"/>
                <w:bCs w:val="false"/>
                <w:sz w:val="20"/>
                <w:szCs w:val="20"/>
              </w:rPr>
              <w:t xml:space="preserve">-0.176±0.303</w:t>
            </w:r>
          </w:p>
        </w:tc>
      </w:tr>
      <w:tr>
        <w:tc>
          <w:tcPr>
            <w:tcW w:type="pct" w:w="25%"/>
            <w:tcBorders>
              <w:top w:val="single" w:sz="1"/>
              <w:left w:val="single" w:sz="1"/>
              <w:bottom w:val="single" w:sz="1"/>
              <w:right w:val="single" w:sz="1"/>
            </w:tcBorders>
          </w:tcPr>
          <w:p>
            <w:r>
              <w:rPr>
                <w:b w:val="false"/>
                <w:bCs w:val="false"/>
                <w:sz w:val="20"/>
                <w:szCs w:val="20"/>
              </w:rPr>
              <w:t xml:space="preserve">Standard error</w:t>
            </w:r>
          </w:p>
        </w:tc>
        <w:tc>
          <w:tcPr>
            <w:tcW w:type="pct" w:w="25%"/>
            <w:tcBorders>
              <w:top w:val="single" w:sz="1"/>
              <w:left w:val="single" w:sz="1"/>
              <w:bottom w:val="single" w:sz="1"/>
              <w:right w:val="single" w:sz="1"/>
            </w:tcBorders>
          </w:tcPr>
          <w:p>
            <w:r>
              <w:rPr>
                <w:b w:val="false"/>
                <w:bCs w:val="false"/>
                <w:sz w:val="20"/>
                <w:szCs w:val="20"/>
              </w:rPr>
              <w:t xml:space="preserve">0.078</w:t>
            </w:r>
          </w:p>
        </w:tc>
        <w:tc>
          <w:tcPr>
            <w:tcW w:type="pct" w:w="25%"/>
            <w:tcBorders>
              <w:top w:val="single" w:sz="1"/>
              <w:left w:val="single" w:sz="1"/>
              <w:bottom w:val="single" w:sz="1"/>
              <w:right w:val="single" w:sz="1"/>
            </w:tcBorders>
          </w:tcPr>
          <w:p>
            <w:r>
              <w:rPr>
                <w:b w:val="false"/>
                <w:bCs w:val="false"/>
                <w:sz w:val="20"/>
                <w:szCs w:val="20"/>
              </w:rPr>
              <w:t xml:space="preserve">0.072</w:t>
            </w:r>
          </w:p>
        </w:tc>
        <w:tc>
          <w:tcPr>
            <w:tcW w:type="pct" w:w="25%"/>
            <w:tcBorders>
              <w:top w:val="single" w:sz="1"/>
              <w:left w:val="single" w:sz="1"/>
              <w:bottom w:val="single" w:sz="1"/>
              <w:right w:val="single" w:sz="1"/>
            </w:tcBorders>
          </w:tcPr>
          <w:p>
            <w:r>
              <w:rPr>
                <w:b w:val="false"/>
                <w:bCs w:val="false"/>
                <w:sz w:val="20"/>
                <w:szCs w:val="20"/>
              </w:rPr>
              <w:t xml:space="preserve">0.071</w:t>
            </w:r>
          </w:p>
        </w:tc>
      </w:tr>
      <w:tr>
        <w:tc>
          <w:tcPr>
            <w:tcW w:type="pct" w:w="25%"/>
            <w:tcBorders>
              <w:top w:val="single" w:sz="1"/>
              <w:left w:val="single" w:sz="1"/>
              <w:bottom w:val="single" w:sz="1"/>
              <w:right w:val="single" w:sz="1"/>
            </w:tcBorders>
          </w:tcPr>
          <w:p>
            <w:r>
              <w:rPr>
                <w:b w:val="false"/>
                <w:bCs w:val="false"/>
                <w:sz w:val="20"/>
                <w:szCs w:val="20"/>
              </w:rPr>
              <w:t xml:space="preserve">Confidence interval</w:t>
            </w:r>
          </w:p>
        </w:tc>
        <w:tc>
          <w:tcPr>
            <w:tcW w:type="pct" w:w="25%"/>
            <w:tcBorders>
              <w:top w:val="single" w:sz="1"/>
              <w:left w:val="single" w:sz="1"/>
              <w:bottom w:val="single" w:sz="1"/>
              <w:right w:val="single" w:sz="1"/>
            </w:tcBorders>
          </w:tcPr>
          <w:p>
            <w:r>
              <w:rPr>
                <w:b w:val="false"/>
                <w:bCs w:val="false"/>
                <w:sz w:val="20"/>
                <w:szCs w:val="20"/>
              </w:rPr>
              <w:t xml:space="preserve">-0.345÷-0.087 (±0.129)</w:t>
            </w:r>
          </w:p>
        </w:tc>
        <w:tc>
          <w:tcPr>
            <w:tcW w:type="pct" w:w="25%"/>
            <w:tcBorders>
              <w:top w:val="single" w:sz="1"/>
              <w:left w:val="single" w:sz="1"/>
              <w:bottom w:val="single" w:sz="1"/>
              <w:right w:val="single" w:sz="1"/>
            </w:tcBorders>
          </w:tcPr>
          <w:p>
            <w:r>
              <w:rPr>
                <w:b w:val="false"/>
                <w:bCs w:val="false"/>
                <w:sz w:val="20"/>
                <w:szCs w:val="20"/>
              </w:rPr>
              <w:t xml:space="preserve">-0.287÷-0.050 (±0.118)</w:t>
            </w:r>
          </w:p>
        </w:tc>
        <w:tc>
          <w:tcPr>
            <w:tcW w:type="pct" w:w="25%"/>
            <w:tcBorders>
              <w:top w:val="single" w:sz="1"/>
              <w:left w:val="single" w:sz="1"/>
              <w:bottom w:val="single" w:sz="1"/>
              <w:right w:val="single" w:sz="1"/>
            </w:tcBorders>
          </w:tcPr>
          <w:p>
            <w:r>
              <w:rPr>
                <w:b w:val="false"/>
                <w:bCs w:val="false"/>
                <w:sz w:val="20"/>
                <w:szCs w:val="20"/>
              </w:rPr>
              <w:t xml:space="preserve">-0.293÷-0.059 (±0.117)</w:t>
            </w:r>
          </w:p>
        </w:tc>
      </w:tr>
      <w:tr>
        <w:tc>
          <w:tcPr>
            <w:tcW w:type="pct" w:w="25%"/>
            <w:tcBorders>
              <w:top w:val="single" w:sz="1"/>
              <w:left w:val="single" w:sz="1"/>
              <w:bottom w:val="single" w:sz="1"/>
              <w:right w:val="single" w:sz="1"/>
            </w:tcBorders>
          </w:tcPr>
          <w:p>
            <w:r>
              <w:rPr>
                <w:b w:val="false"/>
                <w:bCs w:val="false"/>
                <w:sz w:val="20"/>
                <w:szCs w:val="20"/>
              </w:rPr>
              <w:t xml:space="preserve">corresponding in %</w:t>
            </w:r>
          </w:p>
        </w:tc>
        <w:tc>
          <w:tcPr>
            <w:tcW w:type="pct" w:w="25%"/>
            <w:tcBorders>
              <w:top w:val="single" w:sz="1"/>
              <w:left w:val="single" w:sz="1"/>
              <w:bottom w:val="single" w:sz="1"/>
              <w:right w:val="single" w:sz="1"/>
            </w:tcBorders>
          </w:tcPr>
          <w:p>
            <w:r>
              <w:rPr>
                <w:b w:val="false"/>
                <w:bCs w:val="false"/>
                <w:sz w:val="20"/>
                <w:szCs w:val="20"/>
              </w:rPr>
              <w:t xml:space="preserve">70.8-91.6%</w:t>
            </w:r>
          </w:p>
        </w:tc>
        <w:tc>
          <w:tcPr>
            <w:tcW w:type="pct" w:w="25%"/>
            <w:tcBorders>
              <w:top w:val="single" w:sz="1"/>
              <w:left w:val="single" w:sz="1"/>
              <w:bottom w:val="single" w:sz="1"/>
              <w:right w:val="single" w:sz="1"/>
            </w:tcBorders>
          </w:tcPr>
          <w:p>
            <w:r>
              <w:rPr>
                <w:b w:val="false"/>
                <w:bCs w:val="false"/>
                <w:sz w:val="20"/>
                <w:szCs w:val="20"/>
              </w:rPr>
              <w:t xml:space="preserve">75.1-95.1%</w:t>
            </w:r>
          </w:p>
        </w:tc>
        <w:tc>
          <w:tcPr>
            <w:tcW w:type="pct" w:w="25%"/>
            <w:tcBorders>
              <w:top w:val="single" w:sz="1"/>
              <w:left w:val="single" w:sz="1"/>
              <w:bottom w:val="single" w:sz="1"/>
              <w:right w:val="single" w:sz="1"/>
            </w:tcBorders>
          </w:tcPr>
          <w:p>
            <w:r>
              <w:rPr>
                <w:b w:val="false"/>
                <w:bCs w:val="false"/>
                <w:sz w:val="20"/>
                <w:szCs w:val="20"/>
              </w:rPr>
              <w:t xml:space="preserve">74.6-94.3%</w:t>
            </w:r>
          </w:p>
        </w:tc>
      </w:tr>
    </w:tbl>
    <w:p>
      <w:pPr>
        <w:spacing w:after="120"/>
      </w:pPr>
      <w:r>
        <w:t xml:space="preserve">*) – for parameters f and f' all values are given by logarithmic transformation</w:t>
      </w:r>
    </w:p>
    <w:p>
      <w:pPr>
        <w:pStyle w:val="Heading2"/>
        <w:spacing w:after="200"/>
        <w:jc w:val="left"/>
      </w:pPr>
      <w:r>
        <w:rPr>
          <w:b/>
          <w:bCs/>
          <w:sz w:val="24"/>
          <w:szCs w:val="24"/>
        </w:rPr>
        <w:t xml:space="preserve">Table 6. Indicators of lansoprazole absorption rate from tested products.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3%"/>
            <w:tcBorders>
              <w:top w:val="single" w:sz="1"/>
              <w:left w:val="single" w:sz="1"/>
              <w:bottom w:val="single" w:sz="1"/>
              <w:right w:val="single" w:sz="1"/>
            </w:tcBorders>
          </w:tcPr>
          <w:p>
            <w:r>
              <w:rPr>
                <w:b/>
                <w:bCs/>
                <w:sz w:val="20"/>
                <w:szCs w:val="20"/>
              </w:rPr>
              <w:t xml:space="preserve">Parameter</w:t>
            </w:r>
          </w:p>
        </w:tc>
        <w:tc>
          <w:tcPr>
            <w:tcW w:type="pct" w:w="33%"/>
            <w:tcBorders>
              <w:top w:val="single" w:sz="1"/>
              <w:left w:val="single" w:sz="1"/>
              <w:bottom w:val="single" w:sz="1"/>
              <w:right w:val="single" w:sz="1"/>
            </w:tcBorders>
          </w:tcPr>
          <w:p>
            <w:r>
              <w:rPr>
                <w:b/>
                <w:bCs/>
                <w:sz w:val="20"/>
                <w:szCs w:val="20"/>
              </w:rPr>
              <w:t xml:space="preserve">LANSASOL (BoriMed)</w:t>
            </w:r>
          </w:p>
        </w:tc>
        <w:tc>
          <w:tcPr>
            <w:tcW w:type="pct" w:w="33%"/>
            <w:tcBorders>
              <w:top w:val="single" w:sz="1"/>
              <w:left w:val="single" w:sz="1"/>
              <w:bottom w:val="single" w:sz="1"/>
              <w:right w:val="single" w:sz="1"/>
            </w:tcBorders>
          </w:tcPr>
          <w:p>
            <w:r>
              <w:rPr>
                <w:b/>
                <w:bCs/>
                <w:sz w:val="20"/>
                <w:szCs w:val="20"/>
              </w:rPr>
              <w:t xml:space="preserve">LANZOPTOL (KRKA)</w:t>
            </w:r>
          </w:p>
        </w:tc>
      </w:tr>
      <w:tr>
        <w:tc>
          <w:tcPr>
            <w:tcW w:type="pct" w:w="25%"/>
            <w:tcBorders>
              <w:top w:val="single" w:sz="1"/>
              <w:left w:val="single" w:sz="1"/>
              <w:bottom w:val="single" w:sz="1"/>
              <w:right w:val="single" w:sz="1"/>
            </w:tcBorders>
          </w:tcPr>
          <w:p>
            <w:r>
              <w:rPr>
                <w:b w:val="false"/>
                <w:bCs w:val="false"/>
                <w:sz w:val="20"/>
                <w:szCs w:val="20"/>
              </w:rPr>
              <w:t xml:space="preserve">C_max/AUC₈</w:t>
            </w:r>
          </w:p>
        </w:tc>
        <w:tc>
          <w:tcPr>
            <w:tcW w:type="pct" w:w="25%"/>
            <w:tcBorders>
              <w:top w:val="single" w:sz="1"/>
              <w:left w:val="single" w:sz="1"/>
              <w:bottom w:val="single" w:sz="1"/>
              <w:right w:val="single" w:sz="1"/>
            </w:tcBorders>
          </w:tcPr>
          <w:p>
            <w:r>
              <w:rPr>
                <w:b w:val="false"/>
                <w:bCs w:val="false"/>
                <w:sz w:val="20"/>
                <w:szCs w:val="20"/>
              </w:rPr>
              <w:t xml:space="preserve">C_max/AUC_∞</w:t>
            </w:r>
          </w:p>
        </w:tc>
        <w:tc>
          <w:tcPr>
            <w:tcW w:type="pct" w:w="25%"/>
            <w:tcBorders>
              <w:top w:val="single" w:sz="1"/>
              <w:left w:val="single" w:sz="1"/>
              <w:bottom w:val="single" w:sz="1"/>
              <w:right w:val="single" w:sz="1"/>
            </w:tcBorders>
          </w:tcPr>
          <w:p>
            <w:r>
              <w:rPr>
                <w:b w:val="false"/>
                <w:bCs w:val="false"/>
                <w:sz w:val="20"/>
                <w:szCs w:val="20"/>
              </w:rPr>
              <w:t xml:space="preserve">C_max/AUC₈</w:t>
            </w:r>
          </w:p>
        </w:tc>
        <w:tc>
          <w:tcPr>
            <w:tcW w:type="pct" w:w="25%"/>
            <w:tcBorders>
              <w:top w:val="single" w:sz="1"/>
              <w:left w:val="single" w:sz="1"/>
              <w:bottom w:val="single" w:sz="1"/>
              <w:right w:val="single" w:sz="1"/>
            </w:tcBorders>
          </w:tcPr>
          <w:p>
            <w:r>
              <w:rPr>
                <w:b w:val="false"/>
                <w:bCs w:val="false"/>
                <w:sz w:val="20"/>
                <w:szCs w:val="20"/>
              </w:rPr>
              <w:t xml:space="preserve">C_max/AUC_∞</w:t>
            </w:r>
          </w:p>
        </w:tc>
      </w:tr>
      <w:tr>
        <w:tc>
          <w:tcPr>
            <w:tcW w:type="pct" w:w="20%"/>
            <w:tcBorders>
              <w:top w:val="single" w:sz="1"/>
              <w:left w:val="single" w:sz="1"/>
              <w:bottom w:val="single" w:sz="1"/>
              <w:right w:val="single" w:sz="1"/>
            </w:tcBorders>
          </w:tcPr>
          <w:p>
            <w:r>
              <w:rPr>
                <w:b w:val="false"/>
                <w:bCs w:val="false"/>
                <w:sz w:val="20"/>
                <w:szCs w:val="20"/>
              </w:rPr>
              <w:t xml:space="preserve">Mean</w:t>
            </w:r>
          </w:p>
        </w:tc>
        <w:tc>
          <w:tcPr>
            <w:tcW w:type="pct" w:w="20%"/>
            <w:tcBorders>
              <w:top w:val="single" w:sz="1"/>
              <w:left w:val="single" w:sz="1"/>
              <w:bottom w:val="single" w:sz="1"/>
              <w:right w:val="single" w:sz="1"/>
            </w:tcBorders>
          </w:tcPr>
          <w:p>
            <w:r>
              <w:rPr>
                <w:b w:val="false"/>
                <w:bCs w:val="false"/>
                <w:sz w:val="20"/>
                <w:szCs w:val="20"/>
              </w:rPr>
              <w:t xml:space="preserve">0.424±0.198</w:t>
            </w:r>
          </w:p>
        </w:tc>
        <w:tc>
          <w:tcPr>
            <w:tcW w:type="pct" w:w="20%"/>
            <w:tcBorders>
              <w:top w:val="single" w:sz="1"/>
              <w:left w:val="single" w:sz="1"/>
              <w:bottom w:val="single" w:sz="1"/>
              <w:right w:val="single" w:sz="1"/>
            </w:tcBorders>
          </w:tcPr>
          <w:p>
            <w:r>
              <w:rPr>
                <w:b w:val="false"/>
                <w:bCs w:val="false"/>
                <w:sz w:val="20"/>
                <w:szCs w:val="20"/>
              </w:rPr>
              <w:t xml:space="preserve">0.409±0.206</w:t>
            </w:r>
          </w:p>
        </w:tc>
        <w:tc>
          <w:tcPr>
            <w:tcW w:type="pct" w:w="20%"/>
            <w:tcBorders>
              <w:top w:val="single" w:sz="1"/>
              <w:left w:val="single" w:sz="1"/>
              <w:bottom w:val="single" w:sz="1"/>
              <w:right w:val="single" w:sz="1"/>
            </w:tcBorders>
          </w:tcPr>
          <w:p>
            <w:r>
              <w:rPr>
                <w:b w:val="false"/>
                <w:bCs w:val="false"/>
                <w:sz w:val="20"/>
                <w:szCs w:val="20"/>
              </w:rPr>
              <w:t xml:space="preserve">0.425±0.114</w:t>
            </w:r>
          </w:p>
        </w:tc>
        <w:tc>
          <w:tcPr>
            <w:tcW w:type="pct" w:w="20%"/>
            <w:tcBorders>
              <w:top w:val="single" w:sz="1"/>
              <w:left w:val="single" w:sz="1"/>
              <w:bottom w:val="single" w:sz="1"/>
              <w:right w:val="single" w:sz="1"/>
            </w:tcBorders>
          </w:tcPr>
          <w:p>
            <w:r>
              <w:rPr>
                <w:b w:val="false"/>
                <w:bCs w:val="false"/>
                <w:sz w:val="20"/>
                <w:szCs w:val="20"/>
              </w:rPr>
              <w:t xml:space="preserve">0.404±0.126</w:t>
            </w:r>
          </w:p>
        </w:tc>
      </w:tr>
      <w:tr>
        <w:tc>
          <w:tcPr>
            <w:tcW w:type="pct" w:w="20%"/>
            <w:tcBorders>
              <w:top w:val="single" w:sz="1"/>
              <w:left w:val="single" w:sz="1"/>
              <w:bottom w:val="single" w:sz="1"/>
              <w:right w:val="single" w:sz="1"/>
            </w:tcBorders>
          </w:tcPr>
          <w:p>
            <w:r>
              <w:rPr>
                <w:b w:val="false"/>
                <w:bCs w:val="false"/>
                <w:sz w:val="20"/>
                <w:szCs w:val="20"/>
              </w:rPr>
              <w:t xml:space="preserve">Standard error</w:t>
            </w:r>
          </w:p>
        </w:tc>
        <w:tc>
          <w:tcPr>
            <w:tcW w:type="pct" w:w="20%"/>
            <w:tcBorders>
              <w:top w:val="single" w:sz="1"/>
              <w:left w:val="single" w:sz="1"/>
              <w:bottom w:val="single" w:sz="1"/>
              <w:right w:val="single" w:sz="1"/>
            </w:tcBorders>
          </w:tcPr>
          <w:p>
            <w:r>
              <w:rPr>
                <w:b w:val="false"/>
                <w:bCs w:val="false"/>
                <w:sz w:val="20"/>
                <w:szCs w:val="20"/>
              </w:rPr>
              <w:t xml:space="preserve">0.047</w:t>
            </w:r>
          </w:p>
        </w:tc>
        <w:tc>
          <w:tcPr>
            <w:tcW w:type="pct" w:w="20%"/>
            <w:tcBorders>
              <w:top w:val="single" w:sz="1"/>
              <w:left w:val="single" w:sz="1"/>
              <w:bottom w:val="single" w:sz="1"/>
              <w:right w:val="single" w:sz="1"/>
            </w:tcBorders>
          </w:tcPr>
          <w:p>
            <w:r>
              <w:rPr>
                <w:b w:val="false"/>
                <w:bCs w:val="false"/>
                <w:sz w:val="20"/>
                <w:szCs w:val="20"/>
              </w:rPr>
              <w:t xml:space="preserve">0.048</w:t>
            </w:r>
          </w:p>
        </w:tc>
        <w:tc>
          <w:tcPr>
            <w:tcW w:type="pct" w:w="20%"/>
            <w:tcBorders>
              <w:top w:val="single" w:sz="1"/>
              <w:left w:val="single" w:sz="1"/>
              <w:bottom w:val="single" w:sz="1"/>
              <w:right w:val="single" w:sz="1"/>
            </w:tcBorders>
          </w:tcPr>
          <w:p>
            <w:r>
              <w:rPr>
                <w:b w:val="false"/>
                <w:bCs w:val="false"/>
                <w:sz w:val="20"/>
                <w:szCs w:val="20"/>
              </w:rPr>
              <w:t xml:space="preserve">0.027</w:t>
            </w:r>
          </w:p>
        </w:tc>
        <w:tc>
          <w:tcPr>
            <w:tcW w:type="pct" w:w="20%"/>
            <w:tcBorders>
              <w:top w:val="single" w:sz="1"/>
              <w:left w:val="single" w:sz="1"/>
              <w:bottom w:val="single" w:sz="1"/>
              <w:right w:val="single" w:sz="1"/>
            </w:tcBorders>
          </w:tcPr>
          <w:p>
            <w:r>
              <w:rPr>
                <w:b w:val="false"/>
                <w:bCs w:val="false"/>
                <w:sz w:val="20"/>
                <w:szCs w:val="20"/>
              </w:rPr>
              <w:t xml:space="preserve">0.030</w:t>
            </w:r>
          </w:p>
        </w:tc>
      </w:tr>
      <w:tr>
        <w:tc>
          <w:tcPr>
            <w:tcW w:type="pct" w:w="20%"/>
            <w:tcBorders>
              <w:top w:val="single" w:sz="1"/>
              <w:left w:val="single" w:sz="1"/>
              <w:bottom w:val="single" w:sz="1"/>
              <w:right w:val="single" w:sz="1"/>
            </w:tcBorders>
          </w:tcPr>
          <w:p>
            <w:r>
              <w:rPr>
                <w:b w:val="false"/>
                <w:bCs w:val="false"/>
                <w:sz w:val="20"/>
                <w:szCs w:val="20"/>
              </w:rPr>
              <w:t xml:space="preserve">Confidence interval</w:t>
            </w:r>
          </w:p>
        </w:tc>
        <w:tc>
          <w:tcPr>
            <w:tcW w:type="pct" w:w="20%"/>
            <w:tcBorders>
              <w:top w:val="single" w:sz="1"/>
              <w:left w:val="single" w:sz="1"/>
              <w:bottom w:val="single" w:sz="1"/>
              <w:right w:val="single" w:sz="1"/>
            </w:tcBorders>
          </w:tcPr>
          <w:p>
            <w:r>
              <w:rPr>
                <w:b w:val="false"/>
                <w:bCs w:val="false"/>
                <w:sz w:val="20"/>
                <w:szCs w:val="20"/>
              </w:rPr>
              <w:t xml:space="preserve">±0.077</w:t>
            </w:r>
          </w:p>
        </w:tc>
        <w:tc>
          <w:tcPr>
            <w:tcW w:type="pct" w:w="20%"/>
            <w:tcBorders>
              <w:top w:val="single" w:sz="1"/>
              <w:left w:val="single" w:sz="1"/>
              <w:bottom w:val="single" w:sz="1"/>
              <w:right w:val="single" w:sz="1"/>
            </w:tcBorders>
          </w:tcPr>
          <w:p>
            <w:r>
              <w:rPr>
                <w:b w:val="false"/>
                <w:bCs w:val="false"/>
                <w:sz w:val="20"/>
                <w:szCs w:val="20"/>
              </w:rPr>
              <w:t xml:space="preserve">±0.080</w:t>
            </w:r>
          </w:p>
        </w:tc>
        <w:tc>
          <w:tcPr>
            <w:tcW w:type="pct" w:w="20%"/>
            <w:tcBorders>
              <w:top w:val="single" w:sz="1"/>
              <w:left w:val="single" w:sz="1"/>
              <w:bottom w:val="single" w:sz="1"/>
              <w:right w:val="single" w:sz="1"/>
            </w:tcBorders>
          </w:tcPr>
          <w:p>
            <w:r>
              <w:rPr>
                <w:b w:val="false"/>
                <w:bCs w:val="false"/>
                <w:sz w:val="20"/>
                <w:szCs w:val="20"/>
              </w:rPr>
              <w:t xml:space="preserve">±0.044</w:t>
            </w:r>
          </w:p>
        </w:tc>
        <w:tc>
          <w:tcPr>
            <w:tcW w:type="pct" w:w="20%"/>
            <w:tcBorders>
              <w:top w:val="single" w:sz="1"/>
              <w:left w:val="single" w:sz="1"/>
              <w:bottom w:val="single" w:sz="1"/>
              <w:right w:val="single" w:sz="1"/>
            </w:tcBorders>
          </w:tcPr>
          <w:p>
            <w:r>
              <w:rPr>
                <w:b w:val="false"/>
                <w:bCs w:val="false"/>
                <w:sz w:val="20"/>
                <w:szCs w:val="20"/>
              </w:rPr>
              <w:t xml:space="preserve">±0.050</w:t>
            </w:r>
          </w:p>
        </w:tc>
      </w:tr>
    </w:tbl>
    <w:p>
      <w:pPr>
        <w:spacing w:after="120"/>
      </w:pPr>
      <w:r>
        <w:t xml:space="preserve">Thus:</w:t>
      </w:r>
    </w:p>
    <w:p>
      <w:pPr>
        <w:spacing w:after="80"/>
        <w:ind w:left="720"/>
      </w:pPr>
      <w:r>
        <w:t xml:space="preserve">• ANALYSIS OF VARIANCE of each of the calculated pharmacokinetic parameters did not reveal statistically significant differences when grouping variants by type of product taken, trial design (scheme of product administration sequence), type of product depending on the sequence of trial periods for all indicators. The absence of differences was also preserved with simultaneous grouping of variants by type of product taken, trial design (scheme of product administration sequence) and type of product depending on the sequence of trial periods.</w:t>
      </w:r>
    </w:p>
    <w:p>
      <w:pPr>
        <w:spacing w:after="80"/>
        <w:ind w:left="720"/>
      </w:pPr>
      <w:r>
        <w:t xml:space="preserve">• BIOAVAILABILITY. Confidence intervals for f, f' do not exceed the range -0.357 ÷ 0.357 in logarithmically transformed data (which corresponds to the range 75.1-95.1% for f' and 74.6-94.3% for f), the confidence interval for f'' is in the range 0.7-1.43;</w:t>
      </w:r>
    </w:p>
    <w:p>
      <w:pPr>
        <w:spacing w:after="80"/>
        <w:ind w:left="720"/>
      </w:pPr>
      <w:r>
        <w:t xml:space="preserve">• ABSORPTION RATE. The t-value for C_max/AUC₈ is -0.015, for C_max/AUC_∞ – -0.077; which does not exceed the standard value of the one-sided t-criterion for a sample of this volume (2.042-2.045), i.e. **differences between the C_max/AUC parameters in both cases are not significant (p=0.99 and 0.94 respectively).**</w:t>
      </w:r>
    </w:p>
    <w:p>
      <w:pPr>
        <w:spacing w:after="200" w:before="200"/>
      </w:pPr>
      <w:r>
        <w:t xml:space="preserve">________________________________________________________________________________</w:t>
      </w:r>
    </w:p>
    <w:p>
      <w:pPr>
        <w:pStyle w:val="Heading2"/>
        <w:spacing w:after="200"/>
        <w:jc w:val="left"/>
      </w:pPr>
      <w:r>
        <w:rPr>
          <w:b/>
          <w:bCs/>
          <w:sz w:val="24"/>
          <w:szCs w:val="24"/>
        </w:rPr>
        <w:t xml:space="preserve">BIOEQUIVALENCE OF LANSOPRAZOLE WHEN ADMINISTERED AFTER MEALS</w:t>
      </w:r>
    </w:p>
    <w:p>
      <w:pPr>
        <w:spacing w:after="80"/>
        <w:ind w:left="720"/>
      </w:pPr>
      <w:r>
        <w:t xml:space="preserve">1. The results obtained for the determination of LANSOPRAZOLE after administration of the products LANSASOL manufactured by OAO «Borisovsky Plant of Medical Preparations» (REPUBLIC OF BELARUS) and LANZOPTOL KRKA, d.d. (SLOVENIA) in the postprandial state in all volunteers are adequately described by a one-compartment pharmacokinetic model with absorption C(t) = B(e⁻ᵏᵉˡᵗ − e⁻ᵏ⁰¹ᵗ). The coefficients of the resulting equations calculated by the Simplex and/or quasi-Newton method satisfy the condition p&lt;0.05.</w:t>
      </w:r>
    </w:p>
    <w:p>
      <w:pPr>
        <w:spacing w:after="80"/>
        <w:ind w:left="720"/>
      </w:pPr>
      <w:r>
        <w:t xml:space="preserve">2. The pharmacokinetic profile of lansoprazole after taking LANSASOL manufactured by OAO «Borisovsky Plant of Medical Preparations» (REPUBLIC OF BELARUS) in the postprandial state is described by the equation: C(t)=16286.0×(e⁻⁰·³¹ᵗ - e⁻⁰·³⁶ᵗ), and the pharmacokinetic profile of lansoprazole after taking LANZOPTOL KRKA, d.d. (SLOVENIA) is described by the equation: C(t)=31980.0×(e⁻⁰·³⁵ᵗ - e⁻⁰·³⁸ᵗ).</w:t>
      </w:r>
    </w:p>
    <w:p>
      <w:pPr>
        <w:spacing w:after="80"/>
        <w:ind w:left="720"/>
      </w:pPr>
      <w:r>
        <w:t xml:space="preserve">3. The arithmetic mean pharmacokinetic profile of lansoprazole after taking LANSASOL manufactured by OAO «Borisovsky Plant of Medical Preparations» (REPUBLIC OF BELARUS) in the postprandial state is described by the equation: C(t)=20512.6×(e⁻⁰·³⁴ᵗ - e⁻⁰·⁴¹ᵗ), for which the values of maximum concentration of components in blood serum (C_max), time to reach it (t_max), area under the pharmacokinetic curve (AUC) are presented in Table 7.</w:t>
      </w:r>
    </w:p>
    <w:p>
      <w:pPr>
        <w:spacing w:after="120"/>
      </w:pPr>
      <w:r>
        <w:t xml:space="preserve">The arithmetic mean pharmacokinetic profile of lansoprazole after taking LANZOPTOL KRKA, d.d. (SLOVENIA) is described by the equation: C(t)=19835.2×(e⁻⁰·³⁵ᵗ - e⁻⁰·⁴²ᵗ), for which the values of maximum concentration of components in blood serum (C_max), time to reach it (t_max), area under the pharmacokinetic curve (AUC) are presented in Table 7.</w:t>
      </w:r>
    </w:p>
    <w:p>
      <w:pPr>
        <w:pStyle w:val="Heading2"/>
        <w:spacing w:after="200"/>
        <w:jc w:val="left"/>
      </w:pPr>
      <w:r>
        <w:rPr>
          <w:b/>
          <w:bCs/>
          <w:sz w:val="24"/>
          <w:szCs w:val="24"/>
        </w:rPr>
        <w:t xml:space="preserve">Table 7. Pharmacokinetic parameters of lansoprazole.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sz="1"/>
              <w:left w:val="single" w:sz="1"/>
              <w:bottom w:val="single" w:sz="1"/>
              <w:right w:val="single" w:sz="1"/>
            </w:tcBorders>
          </w:tcPr>
          <w:p>
            <w:r>
              <w:rPr>
                <w:b/>
                <w:bCs/>
                <w:sz w:val="20"/>
                <w:szCs w:val="20"/>
              </w:rPr>
              <w:t xml:space="preserve">Parameter</w:t>
            </w:r>
          </w:p>
        </w:tc>
        <w:tc>
          <w:tcPr>
            <w:tcW w:type="pct" w:w="33%"/>
            <w:tcBorders>
              <w:top w:val="single" w:sz="1"/>
              <w:left w:val="single" w:sz="1"/>
              <w:bottom w:val="single" w:sz="1"/>
              <w:right w:val="single" w:sz="1"/>
            </w:tcBorders>
          </w:tcPr>
          <w:p>
            <w:r>
              <w:rPr>
                <w:b/>
                <w:bCs/>
                <w:sz w:val="20"/>
                <w:szCs w:val="20"/>
              </w:rPr>
              <w:t xml:space="preserve">LANSASOL (BoriMed)</w:t>
            </w:r>
          </w:p>
        </w:tc>
        <w:tc>
          <w:tcPr>
            <w:tcW w:type="pct" w:w="33%"/>
            <w:tcBorders>
              <w:top w:val="single" w:sz="1"/>
              <w:left w:val="single" w:sz="1"/>
              <w:bottom w:val="single" w:sz="1"/>
              <w:right w:val="single" w:sz="1"/>
            </w:tcBorders>
          </w:tcPr>
          <w:p>
            <w:r>
              <w:rPr>
                <w:b/>
                <w:bCs/>
                <w:sz w:val="20"/>
                <w:szCs w:val="20"/>
              </w:rPr>
              <w:t xml:space="preserve">LANZOPTOL (KRKA)</w:t>
            </w:r>
          </w:p>
        </w:tc>
      </w:tr>
      <w:tr>
        <w:tc>
          <w:tcPr>
            <w:tcW w:type="pct" w:w="33%"/>
            <w:tcBorders>
              <w:top w:val="single" w:sz="1"/>
              <w:left w:val="single" w:sz="1"/>
              <w:bottom w:val="single" w:sz="1"/>
              <w:right w:val="single" w:sz="1"/>
            </w:tcBorders>
          </w:tcPr>
          <w:p>
            <w:r>
              <w:rPr>
                <w:b w:val="false"/>
                <w:bCs w:val="false"/>
                <w:sz w:val="20"/>
                <w:szCs w:val="20"/>
              </w:rPr>
              <w:t xml:space="preserve">C_max, ng/ml</w:t>
            </w:r>
          </w:p>
        </w:tc>
        <w:tc>
          <w:tcPr>
            <w:tcW w:type="pct" w:w="33%"/>
            <w:tcBorders>
              <w:top w:val="single" w:sz="1"/>
              <w:left w:val="single" w:sz="1"/>
              <w:bottom w:val="single" w:sz="1"/>
              <w:right w:val="single" w:sz="1"/>
            </w:tcBorders>
          </w:tcPr>
          <w:p>
            <w:r>
              <w:rPr>
                <w:b w:val="false"/>
                <w:bCs w:val="false"/>
                <w:sz w:val="20"/>
                <w:szCs w:val="20"/>
              </w:rPr>
              <w:t xml:space="preserve">1813.8±734.8</w:t>
            </w:r>
          </w:p>
        </w:tc>
        <w:tc>
          <w:tcPr>
            <w:tcW w:type="pct" w:w="33%"/>
            <w:tcBorders>
              <w:top w:val="single" w:sz="1"/>
              <w:left w:val="single" w:sz="1"/>
              <w:bottom w:val="single" w:sz="1"/>
              <w:right w:val="single" w:sz="1"/>
            </w:tcBorders>
          </w:tcPr>
          <w:p>
            <w:r>
              <w:rPr>
                <w:b w:val="false"/>
                <w:bCs w:val="false"/>
                <w:sz w:val="20"/>
                <w:szCs w:val="20"/>
              </w:rPr>
              <w:t xml:space="preserve">2071.1±776.4</w:t>
            </w:r>
          </w:p>
        </w:tc>
      </w:tr>
      <w:tr>
        <w:tc>
          <w:tcPr>
            <w:tcW w:type="pct" w:w="33%"/>
            <w:tcBorders>
              <w:top w:val="single" w:sz="1"/>
              <w:left w:val="single" w:sz="1"/>
              <w:bottom w:val="single" w:sz="1"/>
              <w:right w:val="single" w:sz="1"/>
            </w:tcBorders>
          </w:tcPr>
          <w:p>
            <w:r>
              <w:rPr>
                <w:b w:val="false"/>
                <w:bCs w:val="false"/>
                <w:sz w:val="20"/>
                <w:szCs w:val="20"/>
              </w:rPr>
              <w:t xml:space="preserve">t_max, hours</w:t>
            </w:r>
          </w:p>
        </w:tc>
        <w:tc>
          <w:tcPr>
            <w:tcW w:type="pct" w:w="33%"/>
            <w:tcBorders>
              <w:top w:val="single" w:sz="1"/>
              <w:left w:val="single" w:sz="1"/>
              <w:bottom w:val="single" w:sz="1"/>
              <w:right w:val="single" w:sz="1"/>
            </w:tcBorders>
          </w:tcPr>
          <w:p>
            <w:r>
              <w:rPr>
                <w:b w:val="false"/>
                <w:bCs w:val="false"/>
                <w:sz w:val="20"/>
                <w:szCs w:val="20"/>
              </w:rPr>
              <w:t xml:space="preserve">2.5±0.5</w:t>
            </w:r>
          </w:p>
        </w:tc>
        <w:tc>
          <w:tcPr>
            <w:tcW w:type="pct" w:w="33%"/>
            <w:tcBorders>
              <w:top w:val="single" w:sz="1"/>
              <w:left w:val="single" w:sz="1"/>
              <w:bottom w:val="single" w:sz="1"/>
              <w:right w:val="single" w:sz="1"/>
            </w:tcBorders>
          </w:tcPr>
          <w:p>
            <w:r>
              <w:rPr>
                <w:b w:val="false"/>
                <w:bCs w:val="false"/>
                <w:sz w:val="20"/>
                <w:szCs w:val="20"/>
              </w:rPr>
              <w:t xml:space="preserve">2.5±1.1</w:t>
            </w:r>
          </w:p>
        </w:tc>
      </w:tr>
      <w:tr>
        <w:tc>
          <w:tcPr>
            <w:tcW w:type="pct" w:w="33%"/>
            <w:tcBorders>
              <w:top w:val="single" w:sz="1"/>
              <w:left w:val="single" w:sz="1"/>
              <w:bottom w:val="single" w:sz="1"/>
              <w:right w:val="single" w:sz="1"/>
            </w:tcBorders>
          </w:tcPr>
          <w:p>
            <w:r>
              <w:rPr>
                <w:b w:val="false"/>
                <w:bCs w:val="false"/>
                <w:sz w:val="20"/>
                <w:szCs w:val="20"/>
              </w:rPr>
              <w:t xml:space="preserve">AUC₈, ng×hours/ml</w:t>
            </w:r>
          </w:p>
        </w:tc>
        <w:tc>
          <w:tcPr>
            <w:tcW w:type="pct" w:w="33%"/>
            <w:tcBorders>
              <w:top w:val="single" w:sz="1"/>
              <w:left w:val="single" w:sz="1"/>
              <w:bottom w:val="single" w:sz="1"/>
              <w:right w:val="single" w:sz="1"/>
            </w:tcBorders>
          </w:tcPr>
          <w:p>
            <w:r>
              <w:rPr>
                <w:b w:val="false"/>
                <w:bCs w:val="false"/>
                <w:sz w:val="20"/>
                <w:szCs w:val="20"/>
              </w:rPr>
              <w:t xml:space="preserve">5324.4±3154.0</w:t>
            </w:r>
          </w:p>
        </w:tc>
        <w:tc>
          <w:tcPr>
            <w:tcW w:type="pct" w:w="33%"/>
            <w:tcBorders>
              <w:top w:val="single" w:sz="1"/>
              <w:left w:val="single" w:sz="1"/>
              <w:bottom w:val="single" w:sz="1"/>
              <w:right w:val="single" w:sz="1"/>
            </w:tcBorders>
          </w:tcPr>
          <w:p>
            <w:r>
              <w:rPr>
                <w:b w:val="false"/>
                <w:bCs w:val="false"/>
                <w:sz w:val="20"/>
                <w:szCs w:val="20"/>
              </w:rPr>
              <w:t xml:space="preserve">5494.6±2780.1</w:t>
            </w:r>
          </w:p>
        </w:tc>
      </w:tr>
      <w:tr>
        <w:tc>
          <w:tcPr>
            <w:tcW w:type="pct" w:w="33%"/>
            <w:tcBorders>
              <w:top w:val="single" w:sz="1"/>
              <w:left w:val="single" w:sz="1"/>
              <w:bottom w:val="single" w:sz="1"/>
              <w:right w:val="single" w:sz="1"/>
            </w:tcBorders>
          </w:tcPr>
          <w:p>
            <w:r>
              <w:rPr>
                <w:b w:val="false"/>
                <w:bCs w:val="false"/>
                <w:sz w:val="20"/>
                <w:szCs w:val="20"/>
              </w:rPr>
              <w:t xml:space="preserve">AUC_∞, ng×hours/ml</w:t>
            </w:r>
          </w:p>
        </w:tc>
        <w:tc>
          <w:tcPr>
            <w:tcW w:type="pct" w:w="33%"/>
            <w:tcBorders>
              <w:top w:val="single" w:sz="1"/>
              <w:left w:val="single" w:sz="1"/>
              <w:bottom w:val="single" w:sz="1"/>
              <w:right w:val="single" w:sz="1"/>
            </w:tcBorders>
          </w:tcPr>
          <w:p>
            <w:r>
              <w:rPr>
                <w:b w:val="false"/>
                <w:bCs w:val="false"/>
                <w:sz w:val="20"/>
                <w:szCs w:val="20"/>
              </w:rPr>
              <w:t xml:space="preserve">6006.3±3859.3</w:t>
            </w:r>
          </w:p>
        </w:tc>
        <w:tc>
          <w:tcPr>
            <w:tcW w:type="pct" w:w="33%"/>
            <w:tcBorders>
              <w:top w:val="single" w:sz="1"/>
              <w:left w:val="single" w:sz="1"/>
              <w:bottom w:val="single" w:sz="1"/>
              <w:right w:val="single" w:sz="1"/>
            </w:tcBorders>
          </w:tcPr>
          <w:p>
            <w:r>
              <w:rPr>
                <w:b w:val="false"/>
                <w:bCs w:val="false"/>
                <w:sz w:val="20"/>
                <w:szCs w:val="20"/>
              </w:rPr>
              <w:t xml:space="preserve">6526.9±4598.5</w:t>
            </w:r>
          </w:p>
        </w:tc>
      </w:tr>
    </w:tbl>
    <w:p>
      <w:pPr>
        <w:pStyle w:val="Heading2"/>
        <w:spacing w:after="200"/>
        <w:jc w:val="left"/>
      </w:pPr>
      <w:r>
        <w:rPr>
          <w:b/>
          <w:bCs/>
          <w:sz w:val="24"/>
          <w:szCs w:val="24"/>
        </w:rPr>
        <w:t xml:space="preserve">STATISTICAL ANALYSIS OF BIOEQUIVALENCE INDICATORS OF LANSOPRAZOLE WHEN ADMINISTERED AFTER MEALS</w:t>
      </w:r>
    </w:p>
    <w:p>
      <w:pPr>
        <w:spacing w:after="120"/>
      </w:pPr>
      <w:r>
        <w:t xml:space="preserve">The results of analysis of variance of calculated pharmacokinetic parameters are presented in Appendix 5 (tables «Analysis of Variance»).</w:t>
      </w:r>
    </w:p>
    <w:p>
      <w:pPr>
        <w:spacing w:after="120"/>
      </w:pPr>
      <w:r>
        <w:t xml:space="preserve">When determining the type of product taken as a grouping characteristic, no statistically significant differences were found for any of the parameters C_max, AUC_t, AUC_∞. When conducting the normality analysis (log-normality) of variance distribution in samples by Levene's test, the variance distribution did not significantly differ from normal (p&gt;0.05) for all indicators.</w:t>
      </w:r>
    </w:p>
    <w:p>
      <w:pPr>
        <w:spacing w:after="120"/>
      </w:pPr>
      <w:r>
        <w:t xml:space="preserve">When determining the type of product depending on the sequence of trial periods as a grouping characteristic, no statistically significant differences were found for any of the parameters C_max, AUC_t, AUC_∞. When conducting the normality analysis (log-normality) of variance distribution in samples by Levene's test, the variance distribution did not significantly differ from normal (p&gt;0.05) for all indicators.</w:t>
      </w:r>
    </w:p>
    <w:p>
      <w:pPr>
        <w:spacing w:after="120"/>
      </w:pPr>
      <w:r>
        <w:t xml:space="preserve">When determining the trial design (scheme of product administration sequence) as a grouping characteristic, no statistically significant differences were found for any of the parameters C_max, AUC_t, AUC_∞. When conducting the normality analysis (log-normality) of variance distribution in samples by Levene's test, the variance distribution did not significantly differ from normal (p&gt;0.05) for all indicators.</w:t>
      </w:r>
    </w:p>
    <w:p>
      <w:pPr>
        <w:spacing w:after="120"/>
      </w:pPr>
      <w:r>
        <w:t xml:space="preserve">When determining the combined type of product taken, trial design (scheme of product administration sequence) and type of product depending on the sequence of trial periods as a grouping characteristic, no statistically significant differences were found for any of the parameters C_max, AUC_t, AUC_∞. When conducting the normality analysis (log-normality) of variance distribution in samples by Levene's test, the variance distribution did not significantly differ from normal (p&gt;0.05) for all indicators.</w:t>
      </w:r>
    </w:p>
    <w:p>
      <w:pPr>
        <w:spacing w:after="120"/>
      </w:pPr>
      <w:r>
        <w:t xml:space="preserve">The calculation of bioequivalence criteria and reliability of differences in the absorption rate of lansoprazole from the products LANSASOL manufactured by OAO «Borisovsky Plant of Medical Preparations» (REPUBLIC OF BELARUS) and LANZOPTOL KRKA, d.d. (SLOVENIA), performed according to the average pharmacokinetic characteristics of products in healthy volunteers in the postprandial state is presented in Tables 8 and 9.</w:t>
      </w:r>
    </w:p>
    <w:p>
      <w:pPr>
        <w:spacing w:after="120"/>
      </w:pPr>
      <w:r>
        <w:t xml:space="preserve">The intra-individual variation of all indicators estimated by the coefficient of variation, despite the exclusion of slow metabolizers of lansoprazole, amounted to 26.3%, 26.1% and 28.9% respectively, i.e. in all cases exceeded 20%, which allowed expanding the acceptability criteria of bioequivalence for indicators f, f', f'' to 0.7-1.43 (with logarithmic transformation of data corresponds to the symmetric interval -0.357 ÷ 0.357) [2,10,17].</w:t>
      </w:r>
    </w:p>
    <w:p>
      <w:pPr>
        <w:pStyle w:val="Heading2"/>
        <w:spacing w:after="200"/>
        <w:jc w:val="left"/>
      </w:pPr>
      <w:r>
        <w:rPr>
          <w:b/>
          <w:bCs/>
          <w:sz w:val="24"/>
          <w:szCs w:val="24"/>
        </w:rPr>
        <w:t xml:space="preserve">Table 8. Bioequivalence indicators of lansoprazole from tested products.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tcPr>
          <w:p>
            <w:r>
              <w:rPr>
                <w:b/>
                <w:bCs/>
                <w:sz w:val="20"/>
                <w:szCs w:val="20"/>
              </w:rPr>
              <w:t xml:space="preserve">Bioavailability parameter</w:t>
            </w:r>
          </w:p>
        </w:tc>
        <w:tc>
          <w:tcPr>
            <w:tcW w:type="pct" w:w="25%"/>
            <w:tcBorders>
              <w:top w:val="single" w:sz="1"/>
              <w:left w:val="single" w:sz="1"/>
              <w:bottom w:val="single" w:sz="1"/>
              <w:right w:val="single" w:sz="1"/>
            </w:tcBorders>
          </w:tcPr>
          <w:p>
            <w:r>
              <w:rPr>
                <w:b/>
                <w:bCs/>
                <w:sz w:val="20"/>
                <w:szCs w:val="20"/>
              </w:rPr>
              <w:t xml:space="preserve">f''</w:t>
            </w:r>
          </w:p>
        </w:tc>
        <w:tc>
          <w:tcPr>
            <w:tcW w:type="pct" w:w="25%"/>
            <w:tcBorders>
              <w:top w:val="single" w:sz="1"/>
              <w:left w:val="single" w:sz="1"/>
              <w:bottom w:val="single" w:sz="1"/>
              <w:right w:val="single" w:sz="1"/>
            </w:tcBorders>
          </w:tcPr>
          <w:p>
            <w:r>
              <w:rPr>
                <w:b/>
                <w:bCs/>
                <w:sz w:val="20"/>
                <w:szCs w:val="20"/>
              </w:rPr>
              <w:t xml:space="preserve">f'*</w:t>
            </w:r>
          </w:p>
        </w:tc>
        <w:tc>
          <w:tcPr>
            <w:tcW w:type="pct" w:w="25%"/>
            <w:tcBorders>
              <w:top w:val="single" w:sz="1"/>
              <w:left w:val="single" w:sz="1"/>
              <w:bottom w:val="single" w:sz="1"/>
              <w:right w:val="single" w:sz="1"/>
            </w:tcBorders>
          </w:tcPr>
          <w:p>
            <w:r>
              <w:rPr>
                <w:b/>
                <w:bCs/>
                <w:sz w:val="20"/>
                <w:szCs w:val="20"/>
              </w:rPr>
              <w:t xml:space="preserve">f*</w:t>
            </w:r>
          </w:p>
        </w:tc>
      </w:tr>
      <w:tr>
        <w:tc>
          <w:tcPr>
            <w:tcW w:type="pct" w:w="25%"/>
            <w:tcBorders>
              <w:top w:val="single" w:sz="1"/>
              <w:left w:val="single" w:sz="1"/>
              <w:bottom w:val="single" w:sz="1"/>
              <w:right w:val="single" w:sz="1"/>
            </w:tcBorders>
          </w:tcPr>
          <w:p>
            <w:r>
              <w:rPr>
                <w:b w:val="false"/>
                <w:bCs w:val="false"/>
                <w:sz w:val="20"/>
                <w:szCs w:val="20"/>
              </w:rPr>
              <w:t xml:space="preserve">Mean</w:t>
            </w:r>
          </w:p>
        </w:tc>
        <w:tc>
          <w:tcPr>
            <w:tcW w:type="pct" w:w="25%"/>
            <w:tcBorders>
              <w:top w:val="single" w:sz="1"/>
              <w:left w:val="single" w:sz="1"/>
              <w:bottom w:val="single" w:sz="1"/>
              <w:right w:val="single" w:sz="1"/>
            </w:tcBorders>
          </w:tcPr>
          <w:p>
            <w:r>
              <w:rPr>
                <w:b w:val="false"/>
                <w:bCs w:val="false"/>
                <w:sz w:val="20"/>
                <w:szCs w:val="20"/>
              </w:rPr>
              <w:t xml:space="preserve">-0.113±0.300</w:t>
            </w:r>
          </w:p>
        </w:tc>
        <w:tc>
          <w:tcPr>
            <w:tcW w:type="pct" w:w="25%"/>
            <w:tcBorders>
              <w:top w:val="single" w:sz="1"/>
              <w:left w:val="single" w:sz="1"/>
              <w:bottom w:val="single" w:sz="1"/>
              <w:right w:val="single" w:sz="1"/>
            </w:tcBorders>
          </w:tcPr>
          <w:p>
            <w:r>
              <w:rPr>
                <w:b w:val="false"/>
                <w:bCs w:val="false"/>
                <w:sz w:val="20"/>
                <w:szCs w:val="20"/>
              </w:rPr>
              <w:t xml:space="preserve">-0.048±0.297</w:t>
            </w:r>
          </w:p>
        </w:tc>
        <w:tc>
          <w:tcPr>
            <w:tcW w:type="pct" w:w="25%"/>
            <w:tcBorders>
              <w:top w:val="single" w:sz="1"/>
              <w:left w:val="single" w:sz="1"/>
              <w:bottom w:val="single" w:sz="1"/>
              <w:right w:val="single" w:sz="1"/>
            </w:tcBorders>
          </w:tcPr>
          <w:p>
            <w:r>
              <w:rPr>
                <w:b w:val="false"/>
                <w:bCs w:val="false"/>
                <w:sz w:val="20"/>
                <w:szCs w:val="20"/>
              </w:rPr>
              <w:t xml:space="preserve">-0.076±0.365</w:t>
            </w:r>
          </w:p>
        </w:tc>
      </w:tr>
      <w:tr>
        <w:tc>
          <w:tcPr>
            <w:tcW w:type="pct" w:w="25%"/>
            <w:tcBorders>
              <w:top w:val="single" w:sz="1"/>
              <w:left w:val="single" w:sz="1"/>
              <w:bottom w:val="single" w:sz="1"/>
              <w:right w:val="single" w:sz="1"/>
            </w:tcBorders>
          </w:tcPr>
          <w:p>
            <w:r>
              <w:rPr>
                <w:b w:val="false"/>
                <w:bCs w:val="false"/>
                <w:sz w:val="20"/>
                <w:szCs w:val="20"/>
              </w:rPr>
              <w:t xml:space="preserve">Standard error</w:t>
            </w:r>
          </w:p>
        </w:tc>
        <w:tc>
          <w:tcPr>
            <w:tcW w:type="pct" w:w="25%"/>
            <w:tcBorders>
              <w:top w:val="single" w:sz="1"/>
              <w:left w:val="single" w:sz="1"/>
              <w:bottom w:val="single" w:sz="1"/>
              <w:right w:val="single" w:sz="1"/>
            </w:tcBorders>
          </w:tcPr>
          <w:p>
            <w:r>
              <w:rPr>
                <w:b w:val="false"/>
                <w:bCs w:val="false"/>
                <w:sz w:val="20"/>
                <w:szCs w:val="20"/>
              </w:rPr>
              <w:t xml:space="preserve">0.069</w:t>
            </w:r>
          </w:p>
        </w:tc>
        <w:tc>
          <w:tcPr>
            <w:tcW w:type="pct" w:w="25%"/>
            <w:tcBorders>
              <w:top w:val="single" w:sz="1"/>
              <w:left w:val="single" w:sz="1"/>
              <w:bottom w:val="single" w:sz="1"/>
              <w:right w:val="single" w:sz="1"/>
            </w:tcBorders>
          </w:tcPr>
          <w:p>
            <w:r>
              <w:rPr>
                <w:b w:val="false"/>
                <w:bCs w:val="false"/>
                <w:sz w:val="20"/>
                <w:szCs w:val="20"/>
              </w:rPr>
              <w:t xml:space="preserve">0.068</w:t>
            </w:r>
          </w:p>
        </w:tc>
        <w:tc>
          <w:tcPr>
            <w:tcW w:type="pct" w:w="25%"/>
            <w:tcBorders>
              <w:top w:val="single" w:sz="1"/>
              <w:left w:val="single" w:sz="1"/>
              <w:bottom w:val="single" w:sz="1"/>
              <w:right w:val="single" w:sz="1"/>
            </w:tcBorders>
          </w:tcPr>
          <w:p>
            <w:r>
              <w:rPr>
                <w:b w:val="false"/>
                <w:bCs w:val="false"/>
                <w:sz w:val="20"/>
                <w:szCs w:val="20"/>
              </w:rPr>
              <w:t xml:space="preserve">0.084</w:t>
            </w:r>
          </w:p>
        </w:tc>
      </w:tr>
      <w:tr>
        <w:tc>
          <w:tcPr>
            <w:tcW w:type="pct" w:w="25%"/>
            <w:tcBorders>
              <w:top w:val="single" w:sz="1"/>
              <w:left w:val="single" w:sz="1"/>
              <w:bottom w:val="single" w:sz="1"/>
              <w:right w:val="single" w:sz="1"/>
            </w:tcBorders>
          </w:tcPr>
          <w:p>
            <w:r>
              <w:rPr>
                <w:b w:val="false"/>
                <w:bCs w:val="false"/>
                <w:sz w:val="20"/>
                <w:szCs w:val="20"/>
              </w:rPr>
              <w:t xml:space="preserve">Confidence interval</w:t>
            </w:r>
          </w:p>
        </w:tc>
        <w:tc>
          <w:tcPr>
            <w:tcW w:type="pct" w:w="25%"/>
            <w:tcBorders>
              <w:top w:val="single" w:sz="1"/>
              <w:left w:val="single" w:sz="1"/>
              <w:bottom w:val="single" w:sz="1"/>
              <w:right w:val="single" w:sz="1"/>
            </w:tcBorders>
          </w:tcPr>
          <w:p>
            <w:r>
              <w:rPr>
                <w:b w:val="false"/>
                <w:bCs w:val="false"/>
                <w:sz w:val="20"/>
                <w:szCs w:val="20"/>
              </w:rPr>
              <w:t xml:space="preserve">-0.226÷0.001 (±0.113)</w:t>
            </w:r>
          </w:p>
        </w:tc>
        <w:tc>
          <w:tcPr>
            <w:tcW w:type="pct" w:w="25%"/>
            <w:tcBorders>
              <w:top w:val="single" w:sz="1"/>
              <w:left w:val="single" w:sz="1"/>
              <w:bottom w:val="single" w:sz="1"/>
              <w:right w:val="single" w:sz="1"/>
            </w:tcBorders>
          </w:tcPr>
          <w:p>
            <w:r>
              <w:rPr>
                <w:b w:val="false"/>
                <w:bCs w:val="false"/>
                <w:sz w:val="20"/>
                <w:szCs w:val="20"/>
              </w:rPr>
              <w:t xml:space="preserve">-0.160÷0.064 (±0.112)</w:t>
            </w:r>
          </w:p>
        </w:tc>
        <w:tc>
          <w:tcPr>
            <w:tcW w:type="pct" w:w="25%"/>
            <w:tcBorders>
              <w:top w:val="single" w:sz="1"/>
              <w:left w:val="single" w:sz="1"/>
              <w:bottom w:val="single" w:sz="1"/>
              <w:right w:val="single" w:sz="1"/>
            </w:tcBorders>
          </w:tcPr>
          <w:p>
            <w:r>
              <w:rPr>
                <w:b w:val="false"/>
                <w:bCs w:val="false"/>
                <w:sz w:val="20"/>
                <w:szCs w:val="20"/>
              </w:rPr>
              <w:t xml:space="preserve">-0.214÷0.061 (±0.138)</w:t>
            </w:r>
          </w:p>
        </w:tc>
      </w:tr>
      <w:tr>
        <w:tc>
          <w:tcPr>
            <w:tcW w:type="pct" w:w="25%"/>
            <w:tcBorders>
              <w:top w:val="single" w:sz="1"/>
              <w:left w:val="single" w:sz="1"/>
              <w:bottom w:val="single" w:sz="1"/>
              <w:right w:val="single" w:sz="1"/>
            </w:tcBorders>
          </w:tcPr>
          <w:p>
            <w:r>
              <w:rPr>
                <w:b w:val="false"/>
                <w:bCs w:val="false"/>
                <w:sz w:val="20"/>
                <w:szCs w:val="20"/>
              </w:rPr>
              <w:t xml:space="preserve">corresponding in %</w:t>
            </w:r>
          </w:p>
        </w:tc>
        <w:tc>
          <w:tcPr>
            <w:tcW w:type="pct" w:w="25%"/>
            <w:tcBorders>
              <w:top w:val="single" w:sz="1"/>
              <w:left w:val="single" w:sz="1"/>
              <w:bottom w:val="single" w:sz="1"/>
              <w:right w:val="single" w:sz="1"/>
            </w:tcBorders>
          </w:tcPr>
          <w:p>
            <w:r>
              <w:rPr>
                <w:b w:val="false"/>
                <w:bCs w:val="false"/>
                <w:sz w:val="20"/>
                <w:szCs w:val="20"/>
              </w:rPr>
              <w:t xml:space="preserve">79.8-101.1%</w:t>
            </w:r>
          </w:p>
        </w:tc>
        <w:tc>
          <w:tcPr>
            <w:tcW w:type="pct" w:w="25%"/>
            <w:tcBorders>
              <w:top w:val="single" w:sz="1"/>
              <w:left w:val="single" w:sz="1"/>
              <w:bottom w:val="single" w:sz="1"/>
              <w:right w:val="single" w:sz="1"/>
            </w:tcBorders>
          </w:tcPr>
          <w:p>
            <w:r>
              <w:rPr>
                <w:b w:val="false"/>
                <w:bCs w:val="false"/>
                <w:sz w:val="20"/>
                <w:szCs w:val="20"/>
              </w:rPr>
              <w:t xml:space="preserve">85.2-106.6%</w:t>
            </w:r>
          </w:p>
        </w:tc>
        <w:tc>
          <w:tcPr>
            <w:tcW w:type="pct" w:w="25%"/>
            <w:tcBorders>
              <w:top w:val="single" w:sz="1"/>
              <w:left w:val="single" w:sz="1"/>
              <w:bottom w:val="single" w:sz="1"/>
              <w:right w:val="single" w:sz="1"/>
            </w:tcBorders>
          </w:tcPr>
          <w:p>
            <w:r>
              <w:rPr>
                <w:b w:val="false"/>
                <w:bCs w:val="false"/>
                <w:sz w:val="20"/>
                <w:szCs w:val="20"/>
              </w:rPr>
              <w:t xml:space="preserve">80.7-106.3%</w:t>
            </w:r>
          </w:p>
        </w:tc>
      </w:tr>
    </w:tbl>
    <w:p>
      <w:pPr>
        <w:pStyle w:val="Heading2"/>
        <w:spacing w:after="200"/>
        <w:jc w:val="left"/>
      </w:pPr>
      <w:r>
        <w:rPr>
          <w:b/>
          <w:bCs/>
          <w:sz w:val="24"/>
          <w:szCs w:val="24"/>
        </w:rPr>
        <w:t xml:space="preserve">Table 9. Indicators of lansoprazole absorption rate from tested products.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3%"/>
            <w:tcBorders>
              <w:top w:val="single" w:sz="1"/>
              <w:left w:val="single" w:sz="1"/>
              <w:bottom w:val="single" w:sz="1"/>
              <w:right w:val="single" w:sz="1"/>
            </w:tcBorders>
          </w:tcPr>
          <w:p>
            <w:r>
              <w:rPr>
                <w:b/>
                <w:bCs/>
                <w:sz w:val="20"/>
                <w:szCs w:val="20"/>
              </w:rPr>
              <w:t xml:space="preserve">Parameter</w:t>
            </w:r>
          </w:p>
        </w:tc>
        <w:tc>
          <w:tcPr>
            <w:tcW w:type="pct" w:w="33%"/>
            <w:tcBorders>
              <w:top w:val="single" w:sz="1"/>
              <w:left w:val="single" w:sz="1"/>
              <w:bottom w:val="single" w:sz="1"/>
              <w:right w:val="single" w:sz="1"/>
            </w:tcBorders>
          </w:tcPr>
          <w:p>
            <w:r>
              <w:rPr>
                <w:b/>
                <w:bCs/>
                <w:sz w:val="20"/>
                <w:szCs w:val="20"/>
              </w:rPr>
              <w:t xml:space="preserve">LANSASOL (BoriMed)</w:t>
            </w:r>
          </w:p>
        </w:tc>
        <w:tc>
          <w:tcPr>
            <w:tcW w:type="pct" w:w="33%"/>
            <w:tcBorders>
              <w:top w:val="single" w:sz="1"/>
              <w:left w:val="single" w:sz="1"/>
              <w:bottom w:val="single" w:sz="1"/>
              <w:right w:val="single" w:sz="1"/>
            </w:tcBorders>
          </w:tcPr>
          <w:p>
            <w:r>
              <w:rPr>
                <w:b/>
                <w:bCs/>
                <w:sz w:val="20"/>
                <w:szCs w:val="20"/>
              </w:rPr>
              <w:t xml:space="preserve">LANZOPTOL (KRKA)</w:t>
            </w:r>
          </w:p>
        </w:tc>
      </w:tr>
      <w:tr>
        <w:tc>
          <w:tcPr>
            <w:tcW w:type="pct" w:w="25%"/>
            <w:tcBorders>
              <w:top w:val="single" w:sz="1"/>
              <w:left w:val="single" w:sz="1"/>
              <w:bottom w:val="single" w:sz="1"/>
              <w:right w:val="single" w:sz="1"/>
            </w:tcBorders>
          </w:tcPr>
          <w:p>
            <w:r>
              <w:rPr>
                <w:b w:val="false"/>
                <w:bCs w:val="false"/>
                <w:sz w:val="20"/>
                <w:szCs w:val="20"/>
              </w:rPr>
              <w:t xml:space="preserve">C_max/AUC₈</w:t>
            </w:r>
          </w:p>
        </w:tc>
        <w:tc>
          <w:tcPr>
            <w:tcW w:type="pct" w:w="25%"/>
            <w:tcBorders>
              <w:top w:val="single" w:sz="1"/>
              <w:left w:val="single" w:sz="1"/>
              <w:bottom w:val="single" w:sz="1"/>
              <w:right w:val="single" w:sz="1"/>
            </w:tcBorders>
          </w:tcPr>
          <w:p>
            <w:r>
              <w:rPr>
                <w:b w:val="false"/>
                <w:bCs w:val="false"/>
                <w:sz w:val="20"/>
                <w:szCs w:val="20"/>
              </w:rPr>
              <w:t xml:space="preserve">C_max/AUC_∞</w:t>
            </w:r>
          </w:p>
        </w:tc>
        <w:tc>
          <w:tcPr>
            <w:tcW w:type="pct" w:w="25%"/>
            <w:tcBorders>
              <w:top w:val="single" w:sz="1"/>
              <w:left w:val="single" w:sz="1"/>
              <w:bottom w:val="single" w:sz="1"/>
              <w:right w:val="single" w:sz="1"/>
            </w:tcBorders>
          </w:tcPr>
          <w:p>
            <w:r>
              <w:rPr>
                <w:b w:val="false"/>
                <w:bCs w:val="false"/>
                <w:sz w:val="20"/>
                <w:szCs w:val="20"/>
              </w:rPr>
              <w:t xml:space="preserve">C_max/AUC₈</w:t>
            </w:r>
          </w:p>
        </w:tc>
        <w:tc>
          <w:tcPr>
            <w:tcW w:type="pct" w:w="25%"/>
            <w:tcBorders>
              <w:top w:val="single" w:sz="1"/>
              <w:left w:val="single" w:sz="1"/>
              <w:bottom w:val="single" w:sz="1"/>
              <w:right w:val="single" w:sz="1"/>
            </w:tcBorders>
          </w:tcPr>
          <w:p>
            <w:r>
              <w:rPr>
                <w:b w:val="false"/>
                <w:bCs w:val="false"/>
                <w:sz w:val="20"/>
                <w:szCs w:val="20"/>
              </w:rPr>
              <w:t xml:space="preserve">C_max/AUC_∞</w:t>
            </w:r>
          </w:p>
        </w:tc>
      </w:tr>
      <w:tr>
        <w:tc>
          <w:tcPr>
            <w:tcW w:type="pct" w:w="20%"/>
            <w:tcBorders>
              <w:top w:val="single" w:sz="1"/>
              <w:left w:val="single" w:sz="1"/>
              <w:bottom w:val="single" w:sz="1"/>
              <w:right w:val="single" w:sz="1"/>
            </w:tcBorders>
          </w:tcPr>
          <w:p>
            <w:r>
              <w:rPr>
                <w:b w:val="false"/>
                <w:bCs w:val="false"/>
                <w:sz w:val="20"/>
                <w:szCs w:val="20"/>
              </w:rPr>
              <w:t xml:space="preserve">Mean</w:t>
            </w:r>
          </w:p>
        </w:tc>
        <w:tc>
          <w:tcPr>
            <w:tcW w:type="pct" w:w="20%"/>
            <w:tcBorders>
              <w:top w:val="single" w:sz="1"/>
              <w:left w:val="single" w:sz="1"/>
              <w:bottom w:val="single" w:sz="1"/>
              <w:right w:val="single" w:sz="1"/>
            </w:tcBorders>
          </w:tcPr>
          <w:p>
            <w:r>
              <w:rPr>
                <w:b w:val="false"/>
                <w:bCs w:val="false"/>
                <w:sz w:val="20"/>
                <w:szCs w:val="20"/>
              </w:rPr>
              <w:t xml:space="preserve">0.381±0.116</w:t>
            </w:r>
          </w:p>
        </w:tc>
        <w:tc>
          <w:tcPr>
            <w:tcW w:type="pct" w:w="20%"/>
            <w:tcBorders>
              <w:top w:val="single" w:sz="1"/>
              <w:left w:val="single" w:sz="1"/>
              <w:bottom w:val="single" w:sz="1"/>
              <w:right w:val="single" w:sz="1"/>
            </w:tcBorders>
          </w:tcPr>
          <w:p>
            <w:r>
              <w:rPr>
                <w:b w:val="false"/>
                <w:bCs w:val="false"/>
                <w:sz w:val="20"/>
                <w:szCs w:val="20"/>
              </w:rPr>
              <w:t xml:space="preserve">0.353±0.127</w:t>
            </w:r>
          </w:p>
        </w:tc>
        <w:tc>
          <w:tcPr>
            <w:tcW w:type="pct" w:w="20%"/>
            <w:tcBorders>
              <w:top w:val="single" w:sz="1"/>
              <w:left w:val="single" w:sz="1"/>
              <w:bottom w:val="single" w:sz="1"/>
              <w:right w:val="single" w:sz="1"/>
            </w:tcBorders>
          </w:tcPr>
          <w:p>
            <w:r>
              <w:rPr>
                <w:b w:val="false"/>
                <w:bCs w:val="false"/>
                <w:sz w:val="20"/>
                <w:szCs w:val="20"/>
              </w:rPr>
              <w:t xml:space="preserve">0.408±0.119</w:t>
            </w:r>
          </w:p>
        </w:tc>
        <w:tc>
          <w:tcPr>
            <w:tcW w:type="pct" w:w="20%"/>
            <w:tcBorders>
              <w:top w:val="single" w:sz="1"/>
              <w:left w:val="single" w:sz="1"/>
              <w:bottom w:val="single" w:sz="1"/>
              <w:right w:val="single" w:sz="1"/>
            </w:tcBorders>
          </w:tcPr>
          <w:p>
            <w:r>
              <w:rPr>
                <w:b w:val="false"/>
                <w:bCs w:val="false"/>
                <w:sz w:val="20"/>
                <w:szCs w:val="20"/>
              </w:rPr>
              <w:t xml:space="preserve">0.375±0.143</w:t>
            </w:r>
          </w:p>
        </w:tc>
      </w:tr>
      <w:tr>
        <w:tc>
          <w:tcPr>
            <w:tcW w:type="pct" w:w="20%"/>
            <w:tcBorders>
              <w:top w:val="single" w:sz="1"/>
              <w:left w:val="single" w:sz="1"/>
              <w:bottom w:val="single" w:sz="1"/>
              <w:right w:val="single" w:sz="1"/>
            </w:tcBorders>
          </w:tcPr>
          <w:p>
            <w:r>
              <w:rPr>
                <w:b w:val="false"/>
                <w:bCs w:val="false"/>
                <w:sz w:val="20"/>
                <w:szCs w:val="20"/>
              </w:rPr>
              <w:t xml:space="preserve">Standard error</w:t>
            </w:r>
          </w:p>
        </w:tc>
        <w:tc>
          <w:tcPr>
            <w:tcW w:type="pct" w:w="20%"/>
            <w:tcBorders>
              <w:top w:val="single" w:sz="1"/>
              <w:left w:val="single" w:sz="1"/>
              <w:bottom w:val="single" w:sz="1"/>
              <w:right w:val="single" w:sz="1"/>
            </w:tcBorders>
          </w:tcPr>
          <w:p>
            <w:r>
              <w:rPr>
                <w:b w:val="false"/>
                <w:bCs w:val="false"/>
                <w:sz w:val="20"/>
                <w:szCs w:val="20"/>
              </w:rPr>
              <w:t xml:space="preserve">0.027</w:t>
            </w:r>
          </w:p>
        </w:tc>
        <w:tc>
          <w:tcPr>
            <w:tcW w:type="pct" w:w="20%"/>
            <w:tcBorders>
              <w:top w:val="single" w:sz="1"/>
              <w:left w:val="single" w:sz="1"/>
              <w:bottom w:val="single" w:sz="1"/>
              <w:right w:val="single" w:sz="1"/>
            </w:tcBorders>
          </w:tcPr>
          <w:p>
            <w:r>
              <w:rPr>
                <w:b w:val="false"/>
                <w:bCs w:val="false"/>
                <w:sz w:val="20"/>
                <w:szCs w:val="20"/>
              </w:rPr>
              <w:t xml:space="preserve">0.029</w:t>
            </w:r>
          </w:p>
        </w:tc>
        <w:tc>
          <w:tcPr>
            <w:tcW w:type="pct" w:w="20%"/>
            <w:tcBorders>
              <w:top w:val="single" w:sz="1"/>
              <w:left w:val="single" w:sz="1"/>
              <w:bottom w:val="single" w:sz="1"/>
              <w:right w:val="single" w:sz="1"/>
            </w:tcBorders>
          </w:tcPr>
          <w:p>
            <w:r>
              <w:rPr>
                <w:b w:val="false"/>
                <w:bCs w:val="false"/>
                <w:sz w:val="20"/>
                <w:szCs w:val="20"/>
              </w:rPr>
              <w:t xml:space="preserve">0.027</w:t>
            </w:r>
          </w:p>
        </w:tc>
        <w:tc>
          <w:tcPr>
            <w:tcW w:type="pct" w:w="20%"/>
            <w:tcBorders>
              <w:top w:val="single" w:sz="1"/>
              <w:left w:val="single" w:sz="1"/>
              <w:bottom w:val="single" w:sz="1"/>
              <w:right w:val="single" w:sz="1"/>
            </w:tcBorders>
          </w:tcPr>
          <w:p>
            <w:r>
              <w:rPr>
                <w:b w:val="false"/>
                <w:bCs w:val="false"/>
                <w:sz w:val="20"/>
                <w:szCs w:val="20"/>
              </w:rPr>
              <w:t xml:space="preserve">0.033</w:t>
            </w:r>
          </w:p>
        </w:tc>
      </w:tr>
      <w:tr>
        <w:tc>
          <w:tcPr>
            <w:tcW w:type="pct" w:w="20%"/>
            <w:tcBorders>
              <w:top w:val="single" w:sz="1"/>
              <w:left w:val="single" w:sz="1"/>
              <w:bottom w:val="single" w:sz="1"/>
              <w:right w:val="single" w:sz="1"/>
            </w:tcBorders>
          </w:tcPr>
          <w:p>
            <w:r>
              <w:rPr>
                <w:b w:val="false"/>
                <w:bCs w:val="false"/>
                <w:sz w:val="20"/>
                <w:szCs w:val="20"/>
              </w:rPr>
              <w:t xml:space="preserve">Confidence interval</w:t>
            </w:r>
          </w:p>
        </w:tc>
        <w:tc>
          <w:tcPr>
            <w:tcW w:type="pct" w:w="20%"/>
            <w:tcBorders>
              <w:top w:val="single" w:sz="1"/>
              <w:left w:val="single" w:sz="1"/>
              <w:bottom w:val="single" w:sz="1"/>
              <w:right w:val="single" w:sz="1"/>
            </w:tcBorders>
          </w:tcPr>
          <w:p>
            <w:r>
              <w:rPr>
                <w:b w:val="false"/>
                <w:bCs w:val="false"/>
                <w:sz w:val="20"/>
                <w:szCs w:val="20"/>
              </w:rPr>
              <w:t xml:space="preserve">±0.044</w:t>
            </w:r>
          </w:p>
        </w:tc>
        <w:tc>
          <w:tcPr>
            <w:tcW w:type="pct" w:w="20%"/>
            <w:tcBorders>
              <w:top w:val="single" w:sz="1"/>
              <w:left w:val="single" w:sz="1"/>
              <w:bottom w:val="single" w:sz="1"/>
              <w:right w:val="single" w:sz="1"/>
            </w:tcBorders>
          </w:tcPr>
          <w:p>
            <w:r>
              <w:rPr>
                <w:b w:val="false"/>
                <w:bCs w:val="false"/>
                <w:sz w:val="20"/>
                <w:szCs w:val="20"/>
              </w:rPr>
              <w:t xml:space="preserve">±0.048</w:t>
            </w:r>
          </w:p>
        </w:tc>
        <w:tc>
          <w:tcPr>
            <w:tcW w:type="pct" w:w="20%"/>
            <w:tcBorders>
              <w:top w:val="single" w:sz="1"/>
              <w:left w:val="single" w:sz="1"/>
              <w:bottom w:val="single" w:sz="1"/>
              <w:right w:val="single" w:sz="1"/>
            </w:tcBorders>
          </w:tcPr>
          <w:p>
            <w:r>
              <w:rPr>
                <w:b w:val="false"/>
                <w:bCs w:val="false"/>
                <w:sz w:val="20"/>
                <w:szCs w:val="20"/>
              </w:rPr>
              <w:t xml:space="preserve">±0.045</w:t>
            </w:r>
          </w:p>
        </w:tc>
        <w:tc>
          <w:tcPr>
            <w:tcW w:type="pct" w:w="20%"/>
            <w:tcBorders>
              <w:top w:val="single" w:sz="1"/>
              <w:left w:val="single" w:sz="1"/>
              <w:bottom w:val="single" w:sz="1"/>
              <w:right w:val="single" w:sz="1"/>
            </w:tcBorders>
          </w:tcPr>
          <w:p>
            <w:r>
              <w:rPr>
                <w:b w:val="false"/>
                <w:bCs w:val="false"/>
                <w:sz w:val="20"/>
                <w:szCs w:val="20"/>
              </w:rPr>
              <w:t xml:space="preserve">±0.054</w:t>
            </w:r>
          </w:p>
        </w:tc>
      </w:tr>
    </w:tbl>
    <w:p>
      <w:pPr>
        <w:spacing w:after="120"/>
      </w:pPr>
      <w:r>
        <w:t xml:space="preserve">Thus:</w:t>
      </w:r>
    </w:p>
    <w:p>
      <w:pPr>
        <w:spacing w:after="80"/>
        <w:ind w:left="720"/>
      </w:pPr>
      <w:r>
        <w:t xml:space="preserve">• ANALYSIS OF VARIANCE of each of the calculated pharmacokinetic parameters did not reveal statistically significant differences when grouping variants by type of product taken, trial design (scheme of product administration sequence), type of product depending on the sequence of trial periods for all indicators. The absence of differences was also preserved with simultaneous grouping of variants by type of product taken, trial design (scheme of product administration sequence) and type of product depending on the sequence of trial periods.</w:t>
      </w:r>
    </w:p>
    <w:p>
      <w:pPr>
        <w:spacing w:after="80"/>
        <w:ind w:left="720"/>
      </w:pPr>
      <w:r>
        <w:t xml:space="preserve">• BIOAVAILABILITY. Confidence intervals for f, f' do not exceed the range -0.357 ÷ 0.357 in logarithmically transformed data (which corresponds to the range 85.2-106.6% for f' and 80.7-106.3% for f), the confidence interval for f'' is in the range 0.7-1.43;</w:t>
      </w:r>
    </w:p>
    <w:p>
      <w:pPr>
        <w:spacing w:after="80"/>
        <w:ind w:left="720"/>
      </w:pPr>
      <w:r>
        <w:t xml:space="preserve">• ABSORPTION RATE. The t-value for C_max/AUC₈ is -0.698, for C_max/AUC_∞ – -0.507; which exceeds the standard value of the one-sided t-criterion for a sample of this volume (2.028) for the indicator C_max/AUC_∞, i.e. **differences between the C_max/AUC parameters are significant (p=0.49 and p=0.61).**</w:t>
      </w:r>
    </w:p>
    <w:p>
      <w:pPr>
        <w:pStyle w:val="Heading1"/>
        <w:spacing w:after="200"/>
        <w:jc w:val="left"/>
      </w:pPr>
      <w:r>
        <w:rPr>
          <w:b/>
          <w:bCs/>
          <w:sz w:val="28"/>
          <w:szCs w:val="28"/>
        </w:rPr>
        <w:t xml:space="preserve">XI. CONCLUSION.</w:t>
      </w:r>
    </w:p>
    <w:p>
      <w:pPr>
        <w:spacing w:after="80"/>
        <w:ind w:left="720"/>
      </w:pPr>
      <w:r>
        <w:t xml:space="preserve">• THE HYPOTHESIS OF COMPARATIVE BIOEQUIVALENCE of capsules LANSASOL manufactured by OAO «Borisovsky Plant of Medical Preparations» (REPUBLIC OF BELARUS) and LANZOPTOL KRKA, d.d. (SLOVENIA) **IS ACCEPTED** since for the pharmacologically active component of the medicinal product – LANSOPRAZOLE – the criteria for comparability of bioequivalence assessment are met according to the degree of bioequivalence (1) – the absence of statistically significant differences in confidence intervals for the values f, f', f''; which is equivalent to the absence of statistically significant differences between the maximum concentration values of products in blood serum, areas under the pharmacokinetic curve when administered fasting and after meals.</w:t>
      </w:r>
    </w:p>
    <w:p>
      <w:pPr>
        <w:spacing w:after="80"/>
        <w:ind w:left="720"/>
      </w:pPr>
      <w:r>
        <w:t xml:space="preserve">• THE HYPOTHESIS OF EQUIVALENCE of absorption rate parameters of capsules LANSASOL manufactured by OAO «Borisovsky Plant of Medical Preparations» (REPUBLIC OF BELARUS) and LANZOPTOL KRKA, d.d. (SLOVENIA), **IS ACCEPTED**, since for the pharmacologically active component of the medicinal product – LANSOPRAZOLE – the criteria for equivalence assessment are met according to the absorption rate (2); which is equivalent to the absence of statistically significant differences between the ratios of maximum concentration of tested products to the area when administered once fasting and after meals.</w:t>
      </w:r>
    </w:p>
    <w:p>
      <w:pPr>
        <w:pStyle w:val="Heading1"/>
        <w:spacing w:after="200"/>
        <w:jc w:val="left"/>
      </w:pPr>
      <w:r>
        <w:rPr>
          <w:b/>
          <w:bCs/>
          <w:sz w:val="28"/>
          <w:szCs w:val="28"/>
        </w:rPr>
        <w:t xml:space="preserve">XII. REFERENCES.</w:t>
      </w:r>
    </w:p>
    <w:p>
      <w:pPr>
        <w:spacing w:after="80"/>
        <w:ind w:left="720"/>
      </w:pPr>
      <w:r>
        <w:t xml:space="preserve">1. Glantz S. Medical-Biological Statistics. Transl. from Engl. – M., Praktika, 1999.</w:t>
      </w:r>
    </w:p>
    <w:p>
      <w:pPr>
        <w:spacing w:after="80"/>
        <w:ind w:left="720"/>
      </w:pPr>
      <w:r>
        <w:t xml:space="preserve">2. State Pharmacopoeia of the Republic of Belarus. Vol. 1. General methods of quality control of medicinal products. 5.8. Bioavailability and bioequivalence of generic medicinal products. / Center for Expertise and Testing in Healthcare; ed. G.V. Godovalnikov – Minsk: Minsk State PTK of Printing, 2006. – P. 580-597.</w:t>
      </w:r>
    </w:p>
    <w:p>
      <w:pPr>
        <w:spacing w:after="80"/>
        <w:ind w:left="720"/>
      </w:pPr>
      <w:r>
        <w:t xml:space="preserve">3. Karkishchenko N.N., Khrono V.V., Sergeeva S.A., Karkishchenko V.N. Pharmacokinetics (Series «Hippocrates») – Rostov n/D: Phoenix, 2001. – 384 p.</w:t>
      </w:r>
    </w:p>
    <w:p>
      <w:pPr>
        <w:spacing w:after="80"/>
        <w:ind w:left="720"/>
      </w:pPr>
      <w:r>
        <w:t xml:space="preserve">4. Mashkovsky M.D. Medicinal Products. 13th edition. Kharkov, «Torsing», 1997.</w:t>
      </w:r>
    </w:p>
    <w:p>
      <w:pPr>
        <w:spacing w:after="80"/>
        <w:ind w:left="720"/>
      </w:pPr>
      <w:r>
        <w:t xml:space="preserve">5. Pytovsky V.K. On determining the initial volume of distribution of medicinal substances // Chem. Pharm. J. – 1985. – Vol. 19, No.7. – P. 782-790.</w:t>
      </w:r>
    </w:p>
    <w:p>
      <w:pPr>
        <w:spacing w:after="80"/>
        <w:ind w:left="720"/>
      </w:pPr>
      <w:r>
        <w:t xml:space="preserve">6. Pytovsky V.K. Pharmacokinetic stochastic models: substantiation and application in pharmacokinetics studies of cardiovascular medicinal products. – Author's abstract. ... Dr. Biol. Sci.: 14.00.25 / Russian Academy of Medical Sciences Institute of Pharmacology – M. 1988. – 39 p.</w:t>
      </w:r>
    </w:p>
    <w:p>
      <w:pPr>
        <w:spacing w:after="80"/>
        <w:ind w:left="720"/>
      </w:pPr>
      <w:r>
        <w:t xml:space="preserve">7. Order of the Ministry of Health of the Republic of Belarus No. 254 dated 13.09.99 «On approval of the rules for conducting clinical trials of medicinal products». Minsk, 1999.</w:t>
      </w:r>
    </w:p>
    <w:p>
      <w:pPr>
        <w:spacing w:after="80"/>
        <w:ind w:left="720"/>
      </w:pPr>
      <w:r>
        <w:t xml:space="preserve">8. Conducting quality studies of bioequivalence of medicinal products. Methodological guidelines / Ed. V.G. Kukesa, A.A. Firsova, A.K. Starodubtsev, V.P. Zherdeva: Approved by Ministry of Health of the Russian Federation 10.08.04. – M., 2004. – 43 p.</w:t>
      </w:r>
    </w:p>
    <w:p>
      <w:pPr>
        <w:spacing w:after="80"/>
        <w:ind w:left="720"/>
      </w:pPr>
      <w:r>
        <w:t xml:space="preserve">9. RLS – Encyclopedia of Medicines®. Edition 11th, transl. and suppl. / Chief ed. G.L. Vyshkovsky – M.: LLC «RLS-2004». – 2004. – 1503 p.</w:t>
      </w:r>
    </w:p>
    <w:p>
      <w:pPr>
        <w:spacing w:after="80"/>
        <w:ind w:left="720"/>
      </w:pPr>
      <w:r>
        <w:t xml:space="preserve">10. Guideline 42-7.1:2005 «Guideline on clinical studies. Medicinal products. Investigation of bioequivalence and bioavailability.» - Ministry of Health of Ukraine, Kyiv. – 2005.</w:t>
      </w:r>
    </w:p>
    <w:p>
      <w:pPr>
        <w:spacing w:after="80"/>
        <w:ind w:left="720"/>
      </w:pPr>
      <w:r>
        <w:t xml:space="preserve">11. Sergeenko V.I., Bondareva I.B. Mathematical statistics in clinical studies. – M.: GEOTAR MEDICINE, 2000. – 256 p.</w:t>
      </w:r>
    </w:p>
    <w:p>
      <w:pPr>
        <w:spacing w:after="80"/>
        <w:ind w:left="720"/>
      </w:pPr>
      <w:r>
        <w:t xml:space="preserve">12. Solovyov V.N., Firsova A.A., Filov V.A. Pharmacokinetics (guide). M., "Medicine", 1980.</w:t>
      </w:r>
    </w:p>
    <w:p>
      <w:pPr>
        <w:spacing w:after="80"/>
        <w:ind w:left="720"/>
      </w:pPr>
      <w:r>
        <w:t xml:space="preserve">13. Solovyov V.N., Fishman B.M., Firsova A.A. Mathematical models of pharmacokinetics in chemotherapy. / Pharmacology. Chemotherapeutic agents. Toxicology. Problems of pharmacology vol.5. – M. VINITI. – 1973. – 121 p.</w:t>
      </w:r>
    </w:p>
    <w:p>
      <w:pPr>
        <w:spacing w:after="80"/>
        <w:ind w:left="720"/>
      </w:pPr>
      <w:r>
        <w:t xml:space="preserve">14. Vidal Handbook. Medicinal products in Russia. M., ZAO «AstraPharmService», 2004, - 1472 p.</w:t>
      </w:r>
    </w:p>
    <w:p>
      <w:pPr>
        <w:spacing w:after="80"/>
        <w:ind w:left="720"/>
      </w:pPr>
      <w:r>
        <w:t xml:space="preserve">15. Kholodov L.E., Yakovlev V.P. Clinical Pharmacokinetics. M., "Medicine", 1985.</w:t>
      </w:r>
    </w:p>
    <w:p>
      <w:pPr>
        <w:spacing w:after="80"/>
        <w:ind w:left="720"/>
      </w:pPr>
      <w:r>
        <w:t xml:space="preserve">16. Bioavailability assessment from pharmacologic data: Method and clinical evaluation / G. Stagni, A.M.M. Shepherd, Yanjuan Liu, W.R. Gillespie // J. Pharmacokinet. Biopharm. – 1997. – Vol. 25, No.3. – P. 349-362.</w:t>
      </w:r>
    </w:p>
    <w:p>
      <w:pPr>
        <w:spacing w:after="80"/>
        <w:ind w:left="720"/>
      </w:pPr>
      <w:r>
        <w:t xml:space="preserve">17. CPMP/EWP/QWP/1401/98 Note for Guidance on the Investigation of Bioavailability and Bioequivalence. – 2001.</w:t>
      </w:r>
    </w:p>
    <w:p>
      <w:pPr>
        <w:spacing w:after="80"/>
        <w:ind w:left="720"/>
      </w:pPr>
      <w:r>
        <w:t xml:space="preserve">18. Dvorchik B.H., Vesell E.S. Significance of error associated with use of the one-compartment formula to calculate clearance of thirty-eight drugs // Clin. Pharmacol. Ther. – 1978. – Vol. 23, 6. – P. 617-623.</w:t>
      </w:r>
    </w:p>
    <w:p>
      <w:pPr>
        <w:spacing w:after="80"/>
        <w:ind w:left="720"/>
      </w:pPr>
      <w:r>
        <w:t xml:space="preserve">19. Investigation of Bioavailability and Bioequivalence. – Commission of the European Communities. – III/54/89-EN. – Dec. 1991. – P. 1-20.</w:t>
      </w:r>
    </w:p>
    <w:p>
      <w:pPr>
        <w:spacing w:after="80"/>
        <w:ind w:left="720"/>
      </w:pPr>
      <w:r>
        <w:t xml:space="preserve">20. In vivo Bioequivalence Guidances. – U.S. Pharmacopeia 24-NF 19&lt; Supplement 2. – 2000. – 1090, P. 2056-2098.</w:t>
      </w:r>
    </w:p>
    <w:p>
      <w:pPr>
        <w:spacing w:after="80"/>
        <w:ind w:left="720"/>
      </w:pPr>
      <w:r>
        <w:t xml:space="preserve">21. Greenblatt D.J., Koch-Weser J. Clinical Pharmacokinetics (Second of Two Parts) // NEJM. – Nov. 6. – 1975. – Vol. 293. – p. 964-970</w:t>
      </w:r>
    </w:p>
    <w:p>
      <w:pPr>
        <w:spacing w:after="80"/>
        <w:ind w:left="720"/>
      </w:pPr>
      <w:r>
        <w:t xml:space="preserve">22. Jawien W. On continuity of integration methods for AUC: A note // J. Pharmacokinet. Biopharm. – 1998. – Vol. 26, No.1. – P. 125-130.</w:t>
      </w:r>
    </w:p>
    <w:p>
      <w:pPr>
        <w:spacing w:after="80"/>
        <w:ind w:left="720"/>
      </w:pPr>
      <w:r>
        <w:t xml:space="preserve">23. Ottaway J.H. Normalization in the fitting of data by iterative methods. Application to tracer kinetics and enzyme kinetics // Biochem. J. – 1973. – Vol. 134. – P. 729-736.</w:t>
      </w:r>
    </w:p>
    <w:p>
      <w:pPr>
        <w:spacing w:after="80"/>
        <w:ind w:left="720"/>
      </w:pPr>
      <w:r>
        <w:t xml:space="preserve">24. Pharmacokinetics. Theory and methodology / sect. ed. M. Rowland, G.T. Tucker – 1st ed. – Oxford, New York: Pergamon Press, 1986. – 444 p.</w:t>
      </w:r>
    </w:p>
    <w:p>
      <w:pPr>
        <w:spacing w:after="80"/>
        <w:ind w:left="720"/>
      </w:pPr>
      <w:r>
        <w:t xml:space="preserve">25. Physicians' Desk Reference, 53rd ed. – USA, Medical Economics Company, 1999. – 3477 p.</w:t>
      </w:r>
    </w:p>
    <w:p>
      <w:pPr>
        <w:spacing w:after="80"/>
        <w:ind w:left="720"/>
      </w:pPr>
      <w:r>
        <w:t xml:space="preserve">26. Schulz M., Schmoldt A. Therapeutic and toxic blood concentrations of more than 800 drugs and other xenobiotics // Pharmazie. – 2003. – Vol. 58. – P. 447-474.</w:t>
      </w:r>
    </w:p>
    <w:p>
      <w:pPr>
        <w:spacing w:after="80"/>
        <w:ind w:left="720"/>
      </w:pPr>
      <w:r>
        <w:t xml:space="preserve">27. Wagner J.G. Rapid method of obtaining area under curve for any compartment of any linear pharmacokinetic model in terms of rate constants // J. Pharmacokinet. Biopharm. – 1976. – Vol. 4, 3. – P. 281-285.</w:t>
      </w:r>
    </w:p>
    <w:p>
      <w:pPr>
        <w:spacing w:after="80"/>
        <w:ind w:left="720"/>
      </w:pPr>
      <w:r>
        <w:t xml:space="preserve">28. Yamaoka K., Nakagawa T., Uno T. Statistical Moments in Pharmacokinetics // J. Pharmacokinet. and Biopharm. – 1978. – Vol. 6, No.6. – P. 547-558.</w:t>
      </w:r>
    </w:p>
    <w:p>
      <w:pPr>
        <w:spacing w:after="200" w:before="200"/>
      </w:pPr>
      <w:r>
        <w:t xml:space="preserve">________________________________________________________________________________</w:t>
      </w:r>
    </w:p>
    <w:p>
      <w:pPr>
        <w:pStyle w:val="Heading1"/>
        <w:spacing w:after="200"/>
        <w:jc w:val="left"/>
      </w:pPr>
      <w:r>
        <w:rPr>
          <w:b/>
          <w:bCs/>
          <w:sz w:val="28"/>
          <w:szCs w:val="28"/>
        </w:rPr>
        <w:t xml:space="preserve">XII. LIST OF APPENDICES.</w:t>
      </w:r>
    </w:p>
    <w:p>
      <w:pPr>
        <w:spacing w:after="80"/>
        <w:ind w:left="720"/>
      </w:pPr>
      <w:r>
        <w:t xml:space="preserve">1. Appendix 1: Individual and mean pharmacokinetic profiles of lansoprazole fasting 20</w:t>
      </w:r>
    </w:p>
    <w:p>
      <w:pPr>
        <w:spacing w:after="80"/>
        <w:ind w:left="720"/>
      </w:pPr>
      <w:r>
        <w:t xml:space="preserve">2. Appendix 2: Analysis of variance of pharmacokinetic parameters of lansoprazole fasting 2</w:t>
      </w:r>
    </w:p>
    <w:p>
      <w:pPr>
        <w:spacing w:after="80"/>
        <w:ind w:left="720"/>
      </w:pPr>
      <w:r>
        <w:t xml:space="preserve">3. Appendix 3: Tables of individual and mean concentration values, pharmacokinetic parameters of lansoprazole products fasting 3</w:t>
      </w:r>
    </w:p>
    <w:p>
      <w:pPr>
        <w:spacing w:after="80"/>
        <w:ind w:left="720"/>
      </w:pPr>
      <w:r>
        <w:t xml:space="preserve">4. Appendix 4: Individual and mean pharmacokinetic profiles of lansoprazole after meals 20</w:t>
      </w:r>
    </w:p>
    <w:p>
      <w:pPr>
        <w:spacing w:after="80"/>
        <w:ind w:left="720"/>
      </w:pPr>
      <w:r>
        <w:t xml:space="preserve">5. Appendix 5: Analysis of variance of pharmacokinetic parameters of lansoprazole after meals 2</w:t>
      </w:r>
    </w:p>
    <w:p>
      <w:pPr>
        <w:spacing w:after="80"/>
        <w:ind w:left="720"/>
      </w:pPr>
      <w:r>
        <w:t xml:space="preserve">6. Appendix 6: Tables of individual and mean concentration values, pharmacokinetic parameters of lansoprazole products after meals 3</w:t>
      </w:r>
    </w:p>
    <w:p>
      <w:pPr>
        <w:spacing w:after="80"/>
        <w:ind w:left="720"/>
      </w:pPr>
      <w:r>
        <w:t xml:space="preserve">7. Appendix 7: Analytical method and its validation</w:t>
      </w:r>
    </w:p>
    <w:p>
      <w:pPr>
        <w:spacing w:after="80"/>
        <w:ind w:left="720"/>
      </w:pPr>
      <w:r>
        <w:t xml:space="preserve">8. Appendix 8: Demonstration chromatograms</w:t>
      </w:r>
    </w:p>
    <w:p>
      <w:pPr>
        <w:spacing w:after="80"/>
        <w:ind w:left="720"/>
      </w:pPr>
      <w:r>
        <w:t xml:space="preserve">9. Appendix 9: Blood sampling registration card 2</w:t>
      </w:r>
    </w:p>
    <w:p>
      <w:pPr>
        <w:spacing w:after="80"/>
        <w:ind w:left="720"/>
      </w:pPr>
      <w:r>
        <w:t xml:space="preserve">10. Appendix 10: Individual volunteer card (sample) 1</w:t>
      </w:r>
    </w:p>
    <w:p>
      <w:pPr>
        <w:spacing w:after="80"/>
        <w:ind w:left="720"/>
      </w:pPr>
      <w:r>
        <w:t xml:space="preserve">11. Appendix 11: Volunteer informed consent (sample) 1</w:t>
      </w:r>
    </w:p>
    <w:p>
      <w:pPr>
        <w:spacing w:after="80"/>
        <w:ind w:left="720"/>
      </w:pPr>
      <w:r>
        <w:t xml:space="preserve">12. Appendix 12: Volunteer instructions (sample) 1</w:t>
      </w:r>
    </w:p>
    <w:p>
      <w:pPr>
        <w:spacing w:after="80"/>
        <w:ind w:left="720"/>
      </w:pPr>
      <w:r>
        <w:t xml:space="preserve">13. Appendix 13: Volunteer information (sample) 1</w:t>
      </w:r>
    </w:p>
    <w:p>
      <w:pPr>
        <w:spacing w:after="80"/>
        <w:ind w:left="720"/>
      </w:pPr>
      <w:r>
        <w:t xml:space="preserve">14. Appendix 14: Bioequivalence study program LPZ-2008 14</w:t>
      </w:r>
    </w:p>
    <w:p>
      <w:pPr>
        <w:spacing w:after="80"/>
        <w:ind w:left="720"/>
      </w:pPr>
      <w:r>
        <w:t xml:space="preserve">15. Appendix 15: Ethics committee conclusion 1</w:t>
      </w:r>
    </w:p>
    <w:p>
      <w:pPr>
        <w:spacing w:after="200" w:before="200"/>
      </w:pPr>
      <w:r>
        <w:t xml:space="preserve">________________________________________________________________________________</w:t>
      </w:r>
    </w:p>
    <w:p>
      <w:pPr>
        <w:pStyle w:val="Heading1"/>
        <w:spacing w:after="200"/>
        <w:jc w:val="left"/>
      </w:pPr>
      <w:r>
        <w:rPr>
          <w:b/>
          <w:bCs/>
          <w:sz w:val="28"/>
          <w:szCs w:val="28"/>
        </w:rPr>
        <w:t xml:space="preserve">STUDY DIRECTOR,</w:t>
      </w:r>
    </w:p>
    <w:p>
      <w:pPr>
        <w:spacing w:after="120"/>
      </w:pPr>
      <w:r>
        <w:t xml:space="preserve">Professor of the Department of Propedeutics</w:t>
      </w:r>
    </w:p>
    <w:p>
      <w:pPr>
        <w:spacing w:after="120"/>
      </w:pPr>
      <w:r>
        <w:t xml:space="preserve">of Internal Diseases of the Belarusian</w:t>
      </w:r>
    </w:p>
    <w:p>
      <w:pPr>
        <w:spacing w:after="120"/>
      </w:pPr>
      <w:r>
        <w:t xml:space="preserve">State Medical University,</w:t>
      </w:r>
    </w:p>
    <w:p>
      <w:pPr>
        <w:spacing w:after="120"/>
      </w:pPr>
      <w:r>
        <w:t xml:space="preserve">Doctor of Medical Sciences</w:t>
      </w:r>
    </w:p>
    <w:p>
      <w:pPr>
        <w:spacing w:after="120"/>
      </w:pPr>
      <w:r>
        <w:t xml:space="preserve">_______________ </w:t>
      </w:r>
      <w:r>
        <w:rPr>
          <w:b/>
          <w:bCs/>
        </w:rPr>
        <w:t xml:space="preserve">E.A. Dotsenko</w:t>
      </w:r>
      <w:r>
        <w:t xml:space="preserve"/>
      </w:r>
    </w:p>
    <w:p>
      <w:pPr>
        <w:pStyle w:val="Heading1"/>
        <w:spacing w:after="200"/>
        <w:jc w:val="left"/>
      </w:pPr>
      <w:r>
        <w:rPr>
          <w:b/>
          <w:bCs/>
          <w:sz w:val="28"/>
          <w:szCs w:val="28"/>
        </w:rPr>
        <w:t xml:space="preserve">PERSONS RESPONSIBLE FOR THE CLINICAL PHASE</w:t>
      </w:r>
    </w:p>
    <w:p>
      <w:pPr>
        <w:spacing w:after="120"/>
      </w:pPr>
      <w:r>
        <w:t xml:space="preserve">Associate Professor of the Department of Propedeutics</w:t>
      </w:r>
    </w:p>
    <w:p>
      <w:pPr>
        <w:spacing w:after="120"/>
      </w:pPr>
      <w:r>
        <w:t xml:space="preserve">of Internal Diseases of the Belarusian</w:t>
      </w:r>
    </w:p>
    <w:p>
      <w:pPr>
        <w:spacing w:after="120"/>
      </w:pPr>
      <w:r>
        <w:t xml:space="preserve">State Medical University,</w:t>
      </w:r>
    </w:p>
    <w:p>
      <w:pPr>
        <w:spacing w:after="120"/>
      </w:pPr>
      <w:r>
        <w:t xml:space="preserve">Candidate of Medical Sciences</w:t>
      </w:r>
    </w:p>
    <w:p>
      <w:pPr>
        <w:spacing w:after="120"/>
      </w:pPr>
      <w:r>
        <w:t xml:space="preserve">_______________ </w:t>
      </w:r>
      <w:r>
        <w:rPr>
          <w:b/>
          <w:bCs/>
        </w:rPr>
        <w:t xml:space="preserve">V.Ya. Bobkov</w:t>
      </w:r>
      <w:r>
        <w:t xml:space="preserve"/>
      </w:r>
    </w:p>
    <w:p>
      <w:pPr>
        <w:spacing w:after="120"/>
      </w:pPr>
      <w:r>
        <w:t xml:space="preserve">Investigator, resident</w:t>
      </w:r>
    </w:p>
    <w:p>
      <w:pPr>
        <w:spacing w:after="120"/>
      </w:pPr>
      <w:r>
        <w:t xml:space="preserve">of the Blood Transfusion Department of CCH-6</w:t>
      </w:r>
    </w:p>
    <w:p>
      <w:pPr>
        <w:spacing w:after="120"/>
      </w:pPr>
      <w:r>
        <w:t xml:space="preserve">_______________ </w:t>
      </w:r>
      <w:r>
        <w:rPr>
          <w:b/>
          <w:bCs/>
        </w:rPr>
        <w:t xml:space="preserve">I.N. Alekseeva</w:t>
      </w:r>
      <w:r>
        <w:t xml:space="preserve"/>
      </w:r>
    </w:p>
    <w:p>
      <w:pPr>
        <w:pStyle w:val="Heading1"/>
        <w:spacing w:after="200"/>
        <w:jc w:val="left"/>
      </w:pPr>
      <w:r>
        <w:rPr>
          <w:b/>
          <w:bCs/>
          <w:sz w:val="28"/>
          <w:szCs w:val="28"/>
        </w:rPr>
        <w:t xml:space="preserve">PERSON RESPONSIBLE FOR THE ANALYTICAL PHASE</w:t>
      </w:r>
    </w:p>
    <w:p>
      <w:pPr>
        <w:spacing w:after="120"/>
      </w:pPr>
      <w:r>
        <w:t xml:space="preserve">Chief Specialist of the Republican</w:t>
      </w:r>
    </w:p>
    <w:p>
      <w:pPr>
        <w:spacing w:after="120"/>
      </w:pPr>
      <w:r>
        <w:t xml:space="preserve">Clinical and Pharmacological Laboratory</w:t>
      </w:r>
    </w:p>
    <w:p>
      <w:pPr>
        <w:spacing w:after="120"/>
      </w:pPr>
      <w:r>
        <w:t xml:space="preserve">_______________ </w:t>
      </w:r>
      <w:r>
        <w:rPr>
          <w:b/>
          <w:bCs/>
        </w:rPr>
        <w:t xml:space="preserve">A.M. Drobyshevsky</w:t>
      </w:r>
      <w:r>
        <w:t xml:space="preserve"/>
      </w:r>
    </w:p>
    <w:p>
      <w:pPr>
        <w:pStyle w:val="Heading1"/>
        <w:spacing w:after="200"/>
        <w:jc w:val="left"/>
      </w:pPr>
      <w:r>
        <w:rPr>
          <w:b/>
          <w:bCs/>
          <w:sz w:val="28"/>
          <w:szCs w:val="28"/>
        </w:rPr>
        <w:t xml:space="preserve">PERSON RESPONSIBLE FOR THE BIOLOGICAL-STATISTICAL PHASE</w:t>
      </w:r>
    </w:p>
    <w:p>
      <w:pPr>
        <w:spacing w:after="120"/>
      </w:pPr>
      <w:r>
        <w:t xml:space="preserve">Head of the Republican</w:t>
      </w:r>
    </w:p>
    <w:p>
      <w:pPr>
        <w:spacing w:after="120"/>
      </w:pPr>
      <w:r>
        <w:t xml:space="preserve">Clinical and Pharmacological Laboratory,</w:t>
      </w:r>
    </w:p>
    <w:p>
      <w:pPr>
        <w:spacing w:after="120"/>
      </w:pPr>
      <w:r>
        <w:t xml:space="preserve">Candidate of Medical Sciences</w:t>
      </w:r>
    </w:p>
    <w:p>
      <w:pPr>
        <w:spacing w:after="120"/>
      </w:pPr>
      <w:r>
        <w:t xml:space="preserve">_______________ </w:t>
      </w:r>
      <w:r>
        <w:rPr>
          <w:b/>
          <w:bCs/>
        </w:rPr>
        <w:t xml:space="preserve">D.A. Rozhdestvensky</w:t>
      </w:r>
      <w:r>
        <w:t xml:space="preserve"/>
      </w:r>
    </w:p>
    <w:p>
      <w:pPr>
        <w:spacing w:after="120"/>
      </w:pPr>
      <w:r>
        <w:t xml:space="preserve"/>
      </w:r>
      <w:r>
        <w:rPr>
          <w:b/>
          <w:bCs/>
        </w:rPr>
        <w:t xml:space="preserve">«February» 2009.</w:t>
      </w:r>
      <w:r>
        <w:t xml:space="preserve"/>
      </w:r>
    </w:p>
    <w:p>
      <w:pPr>
        <w:spacing w:after="120"/>
      </w:pPr>
      <w:r>
        <w:t xml:space="preserve"/>
      </w:r>
      <w:r>
        <w:rPr>
          <w:b/>
          <w:bCs/>
        </w:rPr>
        <w:t xml:space="preserve">Study Director</w:t>
      </w:r>
      <w:r>
        <w:t xml:space="preserve"> _______________ </w:t>
      </w:r>
      <w:r>
        <w:rPr>
          <w:b/>
          <w:bCs/>
        </w:rPr>
        <w:t xml:space="preserve">E.A. Dotsenko</w:t>
      </w:r>
      <w:r>
        <w:t xml:space="preserve"> </w:t>
      </w:r>
      <w:r>
        <w:rPr>
          <w:b/>
          <w:bCs/>
        </w:rPr>
        <w:t xml:space="preserve">page 20 of 20</w:t>
      </w: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2026-07-09T04:25:43.664Z</dcterms:created>
  <dcterms:modified xsi:type="dcterms:W3CDTF">2026-07-09T04:25:43.664Z</dcterms:modified>
</cp:coreProperties>
</file>

<file path=docProps/custom.xml><?xml version="1.0" encoding="utf-8"?>
<Properties xmlns="http://schemas.openxmlformats.org/officeDocument/2006/custom-properties" xmlns:vt="http://schemas.openxmlformats.org/officeDocument/2006/docPropsVTypes"/>
</file>