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1F2937"/>
          <w:sz w:val="46"/>
        </w:rPr>
        <w:t>ОСТАВШИЕСЯ ВОПРОСЫ ЭКСПЕРТУ</w:t>
      </w:r>
    </w:p>
    <w:p>
      <w:pPr>
        <w:spacing w:after="280"/>
      </w:pPr>
      <w:r>
        <w:rPr>
          <w:rFonts w:ascii="Calibri" w:hAnsi="Calibri" w:eastAsia="Calibri"/>
          <w:color w:val="667085"/>
          <w:sz w:val="25"/>
        </w:rPr>
        <w:t>После проверки транскрипта по группам 1–3, уточнений владельца проекта и шаблона договора</w:t>
      </w:r>
    </w:p>
    <w:p>
      <w:pPr>
        <w:spacing w:after="240"/>
      </w:pPr>
      <w:r>
        <w:rPr>
          <w:rFonts w:ascii="Calibri" w:hAnsi="Calibri" w:eastAsia="Calibri"/>
          <w:b/>
          <w:color w:val="1F2937"/>
          <w:sz w:val="20"/>
        </w:rPr>
        <w:t xml:space="preserve">Дата сверки: </w:t>
      </w:r>
      <w:r>
        <w:rPr>
          <w:rFonts w:ascii="Calibri" w:hAnsi="Calibri" w:eastAsia="Calibri"/>
          <w:color w:val="1F2937"/>
          <w:sz w:val="20"/>
        </w:rPr>
        <w:t xml:space="preserve">11 августа 2026 г.    </w:t>
      </w:r>
      <w:r>
        <w:rPr>
          <w:rFonts w:ascii="Calibri" w:hAnsi="Calibri" w:eastAsia="Calibri"/>
          <w:b/>
          <w:color w:val="1F2937"/>
          <w:sz w:val="20"/>
        </w:rPr>
        <w:t xml:space="preserve">Количество вопросов: </w:t>
      </w:r>
      <w:r>
        <w:rPr>
          <w:rFonts w:ascii="Calibri" w:hAnsi="Calibri" w:eastAsia="Calibri"/>
          <w:color w:val="1F2937"/>
          <w:sz w:val="20"/>
        </w:rPr>
        <w:t>42</w:t>
      </w:r>
    </w:p>
    <w:p>
      <w:pPr>
        <w:shd w:fill="F2F4F7"/>
        <w:pBdr>
          <w:top w:val="single" w:sz="6" w:color="D0D5DD" w:space="5"/>
          <w:left w:val="single" w:sz="6" w:color="D0D5DD" w:space="5"/>
          <w:bottom w:val="single" w:sz="6" w:color="D0D5DD" w:space="5"/>
          <w:right w:val="single" w:sz="6" w:color="D0D5DD" w:space="5"/>
        </w:pBdr>
        <w:spacing w:before="40" w:after="200"/>
        <w:ind w:left="115" w:right="115"/>
      </w:pPr>
      <w:r>
        <w:rPr>
          <w:rFonts w:ascii="Calibri" w:hAnsi="Calibri" w:eastAsia="Calibri"/>
          <w:color w:val="1F2937"/>
          <w:sz w:val="21"/>
        </w:rPr>
        <w:t>В документ включены только вопросы, для которых нет утверждённого ответа или остаётся противоречие. Уже подтверждённые правила по способам оплаты, комиссиям пополнения 2,5%/1%, кэшбэку 300 000 ₽, оплате переданного лота и основаниям расторжения повторно не запрашиваются.</w:t>
      </w:r>
    </w:p>
    <w:p>
      <w:pPr>
        <w:spacing w:before="240" w:after="120"/>
      </w:pPr>
      <w:r>
        <w:rPr>
          <w:rFonts w:ascii="Calibri" w:hAnsi="Calibri" w:eastAsia="Calibri"/>
          <w:b/>
          <w:color w:val="1F4D78"/>
          <w:sz w:val="22"/>
        </w:rPr>
        <w:t>Как отвечать</w:t>
      </w:r>
    </w:p>
    <w:p>
      <w:pPr>
        <w:spacing w:after="200"/>
      </w:pPr>
      <w:r>
        <w:rPr>
          <w:rFonts w:ascii="Calibri" w:hAnsi="Calibri" w:eastAsia="Calibri"/>
          <w:color w:val="1F2937"/>
          <w:sz w:val="21"/>
        </w:rPr>
        <w:t>Желательно давать одно действующее правило, точный срок или перечень, ответственного и источник: договор, регламент, интерфейс либо внутренний процесс. Если правило не существует, достаточно прямо указать это.</w:t>
      </w:r>
    </w:p>
    <w:p>
      <w:pPr>
        <w:pStyle w:val="Heading1"/>
      </w:pPr>
      <w:r>
        <w:t>1. Остаточные уточнения по оплате, комиссиям и договорным ограничениям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Являются ли комиссия платёжной системы при пополнении баланса и комиссия MIGTORG за переданный лот исчерпывающим перечнем действующих комиссий? Если нет, перечислите остальные комиссии, их плательщика, основание и момент начисления.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Утвердите полный регламент ежемесячной программы лояльности: какие сделки входят в рейтинг, как учитываются отменённые сделки и возвраты, в какую дату начисляется кэшбэк, имеет ли он срок действия и кто утверждает изменения программы.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Какой единый порядок применять при просрочке оплаты услуг или комиссии, если интерфейс показывает 10 дней, п. 5.6 договора предусматривает блокировку после более чем 5 рабочих дней, п. 2.8 — расторжение после более чем 7 календарных дней, а п. 5.7 — расторжение после более чем 10 рабочих дней?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Используется ли на практике ограничение видимости только лотов конкретного продавца? Если да, утвердите основания, срок (в разговоре назывались 3 месяца или бессрочно), лицо, принимающее решение, порядок уведомления покупателя, снятия ограничения и обжалования.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Что должно происходить по окончании ограничения использования всей платформы на срок до 7 календарных дней по п. 2.9 договора: доступ восстанавливается автоматически, проводится проверка или принимается отдельное решение о расторжении?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Какой документ фактически устанавливает срок оплаты услуг, если п. 5.5 договора ссылается на Приложение № 2, а в перечне приложений Приложение № 2 обозначено как форма акта об отказе? Нужно ли исправить ссылку в шаблоне договора?</w:t>
      </w:r>
    </w:p>
    <w:p>
      <w:pPr>
        <w:pStyle w:val="Heading1"/>
      </w:pPr>
      <w:r>
        <w:t>2. Возврат денежных средств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Утвердите полный перечень видов возврата, которые должен различать бот: ошибочное пополнение баланса, остаток баланса, обеспечительный платёж, тариф или доступ, отдельная услуга, комиссия MIGTORG при несостоявшейся сделке и другие случаи.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Для каждого вида возврата перечислите точные основания возврата и основания отказа. Какие условия проверяются автоматически, а какие — только сотрудником?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Куда подаётся запрос по каждому виду возврата: email, чат, личный кабинет или подписанное заявление? Когда обращение в чате считается достаточным, а когда обязательна подписанная форма?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Какой комплект сведений и документов нужен для каждого вида возврата: номер договора, номер лота, чек или платёжное поручение, заявление, реквизиты плательщика, документы представителя?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Куда возвращаются деньги по каждому виду платежа: на исходную карту, банковский счёт по заявлению или баланс MIGTORG? Какие банковские данные разрешено запрашивать у пользователя?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Каковы срок рассмотрения заявления и срок фактического перечисления по каждому виду возврата? От какого события начинается каждый срок?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 пользователь узнаёт статус возврата: письмо, сообщение в чате, статус в личном кабинете? Через какой срок допустимо повторно запрашивать статус?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 пользователю направляется решение об отказе в возврате: обязательно ли мотивированное письменное решение и кто его подписывает или согласует?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Какое подразделение или должностное лицо принимает окончательное решение по каждому виду возврата, включая возврат депозита, тарифа, комиссии и ошибочного платежа?</w:t>
      </w:r>
    </w:p>
    <w:p>
      <w:pPr>
        <w:pStyle w:val="Heading1"/>
      </w:pPr>
      <w:r>
        <w:t>3. Отказ от выигранного или переданного лота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Опишите допустимые действия покупателя отдельно для этапов: активная ставка, победа до передачи, лот передан, документы получены, осмотр проведён и стоимость лота уже оплачена.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На каком этапе отказ возможен обычным обращением, когда требуется мотивированный акт, а после какого события отказаться без последствий уже нельзя?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Являются ли два основания из п. 3.6 договора — существенные недостатки стоимостью не менее 10% ставки и истечение 25-дневного срока предложения — исчерпывающими? Можно ли мотивированно отказаться из-за обременений, расхождений в документах, отсутствия комплектности или невозможности осмотра?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причины точно не признаются мотивированным отказом и какие исключения возможны при форс-мажоре или действиях продавца?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доказательства обязательны: фотографии, видео, расчёт стоимости устранения недостатков, акт осмотра, заключение сервиса или независимого эксперта? Установите требования к форме и качеству доказательств.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Действует ли для всех случаев срок 3 рабочих дня с даты отказа, указанный в п. 3.7 договора? Как фиксируется сама дата отказа и что делать, если осмотр или документы задерживает продавец?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 подаётся акт об отказе физическим лицом, у которого нет печати? Допустимы ли электронная подпись, скан без печати или подача через личный кабинет вместо email или факса?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Кто принимает решение по мотивированному отказу: продавец, MIGTORG или обе стороны? Каков срок рассмотрения и что делать при разногласии между площадкой и продавцом?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последствия применяются на каждом этапе: отмена сделки, возврат или удержание комиссии, штраф 10% от ставки, удержание депозита, блокировка аккаунта или ограничение лотов продавца? Какие последствия автоматические, а какие требуют отдельного решения?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Подтвердите порядок возврата комиссии MIGTORG при несостоявшейся сделке: возвращается ли она всегда, кто инициирует возврат, на баланс или банковский счёт она зачисляется и в какой срок?</w:t>
      </w:r>
    </w:p>
    <w:p>
      <w:pPr>
        <w:pStyle w:val="Heading1"/>
      </w:pPr>
      <w:r>
        <w:t>4. Штрафы и их оспаривание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Утвердите исчерпывающий перечень оснований для штрафов, которые можно объяснять пользователю без проверки аккаунта, и перечень оснований, раскрываемых только после индивидуальной проверки.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Какие размеры и формулы штрафов действуют сейчас? Подтвердите применение 10% от ставки за необоснованный отказ и штрафа 100 000 рублей в случае связи с ранее отключённым лицом; перечислите остальные штрафы.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Где пользователь видит основание, сумму, номер лота и документ, по которому выставлен штраф? Какой источник имеет приоритет при расхождении данных?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В какой срок нужно оплатить каждый вид штрафа, от какого события начинается срок и где он указан пользователю?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Какими способами можно оплатить штраф: с баланса, по счёту или иным способом? Как пользователь подтверждает оплату и где видит, что штраф погашен?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Какие функции ограничиваются при неоплаченном штрафе: только создание ставок, видимость лотов, вход в аккаунт или вся платформа? Когда доступ восстанавливается после оплаты?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Какова обязательная форма оспаривания штрафа и канал подачи: свободное письмо, заявление по шаблону, чат или личный кабинет?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Каковы срок подачи возражения и срок его рассмотрения? От какого события начинается каждый срок?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Какие документы и доказательства обязательны для оспаривания, а какие предоставляются по ситуации?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Кто принимает окончательное решение по спору и какие подразделения его согласуют? Получает ли пользователь мотивированное письменное решение?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Что происходит со сроком оплаты штрафа, доступом к аккаунту и другими обязательствами на время рассмотрения спора: приостанавливаются ли они или продолжают действовать?</w:t>
      </w:r>
    </w:p>
    <w:p>
      <w:pPr>
        <w:pStyle w:val="Heading1"/>
      </w:pPr>
      <w:r>
        <w:t>5. Правила публикации и сопровождения БЗ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Утвердите матрицу доступа к информации: какие правила бот сообщает любому пользователю, какие — только после авторизации, а какие — исключительно после проверки сотрудником.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Для каких операций достаточно авторизации на сайте, а когда требуется дополнительная идентификация пользователя, плательщика, стороны договора или представителя организации?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Утвердите перечень обращений, которые всегда передаются сотруднику, ответственные подразделения и приоритет срочности для финансовых, договорных, платёжных и спорных ситуаций.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Подтвердите единый список обещаний, запрещённых для бота: гарантированный возврат, отмена штрафа, разблокировка, передача лота, изменение комиссии, срок решения и другие обязательства без проверки.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Назначьте владельца содержания и утверждающего эксперта по каждому разделу: оплаты и комиссии, возвраты, отказы, штрафы, договорные ограничения и безопасность платежей.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Установите период регулярного пересмотра каждого раздела БЗ и события для внеплановой проверки: изменение договора, тарифа, платёжной системы, интерфейса, программы лояльности или процесса сделки.</w:t>
      </w:r>
    </w:p>
    <w:p>
      <w:pPr>
        <w:pStyle w:val="Heading1"/>
      </w:pPr>
      <w:r>
        <w:t>Источники сверки</w:t>
      </w:r>
    </w:p>
    <w:p>
      <w:pPr>
        <w:pStyle w:val="Question"/>
        <w:numPr>
          <w:ilvl w:val="0"/>
          <w:numId w:val="15"/>
        </w:numPr>
      </w:pPr>
      <w:r>
        <w:rPr>
          <w:rFonts w:ascii="Calibri" w:hAnsi="Calibri" w:eastAsia="Calibri"/>
          <w:color w:val="667085"/>
          <w:sz w:val="21"/>
        </w:rPr>
        <w:t>Построчная сверка вопросов с текущей БЗ MIGTORG от 08.08.2026.</w:t>
      </w:r>
    </w:p>
    <w:p>
      <w:pPr>
        <w:pStyle w:val="Question"/>
        <w:numPr>
          <w:ilvl w:val="0"/>
          <w:numId w:val="15"/>
        </w:numPr>
      </w:pPr>
      <w:r>
        <w:rPr>
          <w:rFonts w:ascii="Calibri" w:hAnsi="Calibri" w:eastAsia="Calibri"/>
          <w:color w:val="667085"/>
          <w:sz w:val="21"/>
        </w:rPr>
        <w:t>Транскрипт разговора с экспертом по группам 1–3 от 11.08.2026.</w:t>
      </w:r>
    </w:p>
    <w:p>
      <w:pPr>
        <w:pStyle w:val="Question"/>
        <w:numPr>
          <w:ilvl w:val="0"/>
          <w:numId w:val="15"/>
        </w:numPr>
      </w:pPr>
      <w:r>
        <w:rPr>
          <w:rFonts w:ascii="Calibri" w:hAnsi="Calibri" w:eastAsia="Calibri"/>
          <w:color w:val="667085"/>
          <w:sz w:val="21"/>
        </w:rPr>
        <w:t>Уточнения владельца проекта по комиссиям пополнения и лимиту кэшбэка от 11.08.2026.</w:t>
      </w:r>
    </w:p>
    <w:p>
      <w:pPr>
        <w:pStyle w:val="Question"/>
        <w:numPr>
          <w:ilvl w:val="0"/>
          <w:numId w:val="15"/>
        </w:numPr>
      </w:pPr>
      <w:r>
        <w:rPr>
          <w:rFonts w:ascii="Calibri" w:hAnsi="Calibri" w:eastAsia="Calibri"/>
          <w:color w:val="667085"/>
          <w:sz w:val="21"/>
        </w:rPr>
        <w:t>Шаблон договора покупателя, проверенный 11.08.2026.</w:t>
      </w:r>
    </w:p>
    <w:p>
      <w:pPr>
        <w:pStyle w:val="Question"/>
        <w:numPr>
          <w:ilvl w:val="0"/>
          <w:numId w:val="15"/>
        </w:numPr>
      </w:pPr>
      <w:r>
        <w:rPr>
          <w:rFonts w:ascii="Calibri" w:hAnsi="Calibri" w:eastAsia="Calibri"/>
          <w:color w:val="667085"/>
          <w:sz w:val="21"/>
        </w:rPr>
        <w:t>Текущая опубликованная БЗ и очередь экспертной проверки MIGTORG.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667085"/>
        <w:sz w:val="18"/>
      </w:rPr>
      <w:t>MIGTORG  •  База знаний</w:t>
    </w:r>
    <w:r>
      <w:rPr>
        <w:rFonts w:ascii="Calibri" w:hAnsi="Calibri" w:eastAsia="Calibri"/>
        <w:color w:val="667085"/>
        <w:sz w:val="18"/>
      </w:rPr>
      <w:t xml:space="preserve">    |    Вопросы эксперту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0" w:after="100" w:line="288" w:lineRule="auto"/>
    </w:pPr>
    <w:rPr>
      <w:rFonts w:ascii="Calibri" w:hAnsi="Calibri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вопросы эксперту по БЗ MIGTORG</dc:title>
  <dc:subject>Незакрытые вопросы после проверки групп 1–3</dc:subject>
  <dc:creator>MIGTORG Knowledge Base</dc:creator>
  <cp:keywords>MIGTORG, база знаний, вопросы эксперту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