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Calibri"/>
          <w:b/>
          <w:color w:val="1F2937"/>
          <w:sz w:val="46"/>
        </w:rPr>
        <w:t>ОСТАВШИЕСЯ ВОПРОСЫ ЭКСПЕРТУ</w:t>
      </w:r>
    </w:p>
    <w:p>
      <w:pPr>
        <w:spacing w:after="280"/>
      </w:pPr>
      <w:r>
        <w:rPr>
          <w:rFonts w:ascii="Calibri" w:hAnsi="Calibri" w:eastAsia="Calibri"/>
          <w:color w:val="667085"/>
          <w:sz w:val="25"/>
        </w:rPr>
        <w:t>После обработки второй части экспертного обсуждения и повторного аудита БЗ</w:t>
      </w:r>
    </w:p>
    <w:p>
      <w:pPr>
        <w:spacing w:after="240"/>
      </w:pPr>
      <w:r>
        <w:rPr>
          <w:rFonts w:ascii="Calibri" w:hAnsi="Calibri" w:eastAsia="Calibri"/>
          <w:b/>
          <w:color w:val="1F2937"/>
          <w:sz w:val="20"/>
        </w:rPr>
        <w:t xml:space="preserve">Дата сверки: </w:t>
      </w:r>
      <w:r>
        <w:rPr>
          <w:rFonts w:ascii="Calibri" w:hAnsi="Calibri" w:eastAsia="Calibri"/>
          <w:color w:val="1F2937"/>
          <w:sz w:val="20"/>
        </w:rPr>
        <w:t xml:space="preserve">11 августа 2026 г.    </w:t>
      </w:r>
      <w:r>
        <w:rPr>
          <w:rFonts w:ascii="Calibri" w:hAnsi="Calibri" w:eastAsia="Calibri"/>
          <w:b/>
          <w:color w:val="1F2937"/>
          <w:sz w:val="20"/>
        </w:rPr>
        <w:t xml:space="preserve">Количество вопросов: </w:t>
      </w:r>
      <w:r>
        <w:rPr>
          <w:rFonts w:ascii="Calibri" w:hAnsi="Calibri" w:eastAsia="Calibri"/>
          <w:color w:val="1F2937"/>
          <w:sz w:val="20"/>
        </w:rPr>
        <w:t>28</w:t>
      </w:r>
    </w:p>
    <w:p>
      <w:pPr>
        <w:shd w:fill="F2F4F7"/>
        <w:pBdr>
          <w:top w:val="single" w:sz="6" w:color="D0D5DD" w:space="5"/>
          <w:left w:val="single" w:sz="6" w:color="D0D5DD" w:space="5"/>
          <w:bottom w:val="single" w:sz="6" w:color="D0D5DD" w:space="5"/>
          <w:right w:val="single" w:sz="6" w:color="D0D5DD" w:space="5"/>
        </w:pBdr>
        <w:spacing w:before="40" w:after="200"/>
        <w:ind w:left="115" w:right="115"/>
      </w:pPr>
      <w:r>
        <w:rPr>
          <w:rFonts w:ascii="Calibri" w:hAnsi="Calibri" w:eastAsia="Calibri"/>
          <w:color w:val="1F2937"/>
          <w:sz w:val="21"/>
        </w:rPr>
        <w:t>В документе 28 незакрытых вопросов: 20 тем частично описаны, но требуют точного и единого регламента; ещё по 8 темам ответа в текущей БЗ нет. Закрытые второй беседой вопросы и уже подтверждённые факты повторно не включены.</w:t>
      </w:r>
    </w:p>
    <w:p>
      <w:pPr>
        <w:spacing w:before="200" w:after="80"/>
      </w:pPr>
      <w:r>
        <w:rPr>
          <w:rFonts w:ascii="Calibri" w:hAnsi="Calibri" w:eastAsia="Calibri"/>
          <w:b/>
          <w:color w:val="1F4D78"/>
          <w:sz w:val="22"/>
        </w:rPr>
        <w:t>Как отвечать</w:t>
      </w:r>
    </w:p>
    <w:p>
      <w:pPr>
        <w:spacing w:after="200"/>
      </w:pPr>
      <w:r>
        <w:rPr>
          <w:rFonts w:ascii="Calibri" w:hAnsi="Calibri" w:eastAsia="Calibri"/>
          <w:color w:val="1F2937"/>
          <w:sz w:val="21"/>
        </w:rPr>
        <w:t>Просьба по возможности дать одно действующее правило, точные сроки и перечни, ответственного за решение и источник правила. Если формального регламента нет, это также важно указать прямо.</w:t>
      </w:r>
    </w:p>
    <w:p>
      <w:pPr>
        <w:pStyle w:val="Heading1"/>
      </w:pPr>
      <w:r>
        <w:t>1. Оплаты, комиссии, программа лояльности и ограничения</w:t>
      </w:r>
    </w:p>
    <w:p>
      <w:pPr>
        <w:pStyle w:val="Question"/>
        <w:numPr>
          <w:ilvl w:val="0"/>
          <w:numId w:val="10"/>
        </w:numPr>
      </w:pPr>
      <w:r>
        <w:rPr>
          <w:rFonts w:ascii="Calibri" w:hAnsi="Calibri" w:eastAsia="Calibri"/>
          <w:color w:val="1F2937"/>
          <w:sz w:val="22"/>
        </w:rPr>
        <w:t>Являются ли комиссия платёжной системы при пополнении баланса и комиссия MIGTORG за переданный лот исчерпывающим перечнем действующих комиссий? Если нет, перечислите остальные комиссии: кто их платит, за что, в каком размере и в какой момент они начисляются.</w:t>
      </w:r>
    </w:p>
    <w:p>
      <w:pPr>
        <w:pStyle w:val="Question"/>
        <w:numPr>
          <w:ilvl w:val="0"/>
          <w:numId w:val="10"/>
        </w:numPr>
      </w:pPr>
      <w:r>
        <w:rPr>
          <w:rFonts w:ascii="Calibri" w:hAnsi="Calibri" w:eastAsia="Calibri"/>
          <w:color w:val="1F2937"/>
          <w:sz w:val="22"/>
        </w:rPr>
        <w:t>Утвердите полный регламент ежемесячной программы лояльности. Уже подтверждено: кэшбэк получают участники топ-10, лимит составляет 300 000 рублей на каждую группу мест. Нужно уточнить: какие сделки входят в рейтинг; как учитываются отменённые сделки и возвраты; когда начисляется кэшбэк; есть ли срок его действия; кто и как утверждает изменения программы.</w:t>
      </w:r>
    </w:p>
    <w:p>
      <w:pPr>
        <w:pStyle w:val="Question"/>
        <w:numPr>
          <w:ilvl w:val="0"/>
          <w:numId w:val="10"/>
        </w:numPr>
      </w:pPr>
      <w:r>
        <w:rPr>
          <w:rFonts w:ascii="Calibri" w:hAnsi="Calibri" w:eastAsia="Calibri"/>
          <w:color w:val="1F2937"/>
          <w:sz w:val="22"/>
        </w:rPr>
        <w:t>Используется ли на практике ограничение видимости только лотов конкретного продавца? Если да, утвердите основания, точный срок (в обсуждении назывались 3 месяца или бессрочно), лицо, принимающее решение, порядок уведомления покупателя, снятия ограничения и обжалования.</w:t>
      </w:r>
    </w:p>
    <w:p>
      <w:pPr>
        <w:pStyle w:val="Heading1"/>
      </w:pPr>
      <w:r>
        <w:t>2. Отказ от выигранного или переданного лота</w:t>
      </w:r>
    </w:p>
    <w:p>
      <w:pPr>
        <w:pStyle w:val="Question"/>
        <w:numPr>
          <w:ilvl w:val="0"/>
          <w:numId w:val="11"/>
        </w:numPr>
      </w:pPr>
      <w:r>
        <w:rPr>
          <w:rFonts w:ascii="Calibri" w:hAnsi="Calibri" w:eastAsia="Calibri"/>
          <w:color w:val="1F2937"/>
          <w:sz w:val="22"/>
        </w:rPr>
        <w:t>На каком этапе отказ возможен обычным обращением, когда требуется мотивированный акт, а после какого события отказаться без последствий уже нельзя? Дайте правило отдельно для активной ставки, победы до передачи, переданного лота, получения документов, осмотра и полной оплаты.</w:t>
      </w:r>
    </w:p>
    <w:p>
      <w:pPr>
        <w:pStyle w:val="Question"/>
        <w:numPr>
          <w:ilvl w:val="0"/>
          <w:numId w:val="11"/>
        </w:numPr>
      </w:pPr>
      <w:r>
        <w:rPr>
          <w:rFonts w:ascii="Calibri" w:hAnsi="Calibri" w:eastAsia="Calibri"/>
          <w:color w:val="1F2937"/>
          <w:sz w:val="22"/>
        </w:rPr>
        <w:t>Являются ли два основания из пункта 3.6 договора — существенные недостатки стоимостью не менее 10% ставки и истечение 25-дневного срока предложения — исчерпывающими? Допустим ли мотивированный отказ из-за обременений, расхождений в документах, некомплектности или невозможности осмотра?</w:t>
      </w:r>
    </w:p>
    <w:p>
      <w:pPr>
        <w:pStyle w:val="Question"/>
        <w:numPr>
          <w:ilvl w:val="0"/>
          <w:numId w:val="11"/>
        </w:numPr>
      </w:pPr>
      <w:r>
        <w:rPr>
          <w:rFonts w:ascii="Calibri" w:hAnsi="Calibri" w:eastAsia="Calibri"/>
          <w:color w:val="1F2937"/>
          <w:sz w:val="22"/>
        </w:rPr>
        <w:t>Какие причины точно не признаются мотивированным отказом? Какие исключения возможны при форс-мажоре или действиях продавца?</w:t>
      </w:r>
    </w:p>
    <w:p>
      <w:pPr>
        <w:pStyle w:val="Question"/>
        <w:numPr>
          <w:ilvl w:val="0"/>
          <w:numId w:val="11"/>
        </w:numPr>
      </w:pPr>
      <w:r>
        <w:rPr>
          <w:rFonts w:ascii="Calibri" w:hAnsi="Calibri" w:eastAsia="Calibri"/>
          <w:color w:val="1F2937"/>
          <w:sz w:val="22"/>
        </w:rPr>
        <w:t>Какие доказательства обязательны для мотивированного отказа: фотографии, видео, расчёт стоимости устранения недостатков, акт осмотра, заключение сервиса или независимого эксперта? Укажите требования к форме и качеству доказательств.</w:t>
      </w:r>
    </w:p>
    <w:p>
      <w:pPr>
        <w:pStyle w:val="Question"/>
        <w:numPr>
          <w:ilvl w:val="0"/>
          <w:numId w:val="11"/>
        </w:numPr>
      </w:pPr>
      <w:r>
        <w:rPr>
          <w:rFonts w:ascii="Calibri" w:hAnsi="Calibri" w:eastAsia="Calibri"/>
          <w:color w:val="1F2937"/>
          <w:sz w:val="22"/>
        </w:rPr>
        <w:t>Действует ли срок 3 рабочих дня из пункта 3.7 договора для всех случаев отказа? От какого события он исчисляется и что делать, если осмотр или предоставление документов задерживает продавец?</w:t>
      </w:r>
    </w:p>
    <w:p>
      <w:pPr>
        <w:pStyle w:val="Question"/>
        <w:numPr>
          <w:ilvl w:val="0"/>
          <w:numId w:val="11"/>
        </w:numPr>
      </w:pPr>
      <w:r>
        <w:rPr>
          <w:rFonts w:ascii="Calibri" w:hAnsi="Calibri" w:eastAsia="Calibri"/>
          <w:color w:val="1F2937"/>
          <w:sz w:val="22"/>
        </w:rPr>
        <w:t>Как физическое лицо подаёт акт об отказе, если у него нет печати? Допустимы ли электронная подпись, скан без печати или подача через личный кабинет вместо электронной почты или факса?</w:t>
      </w:r>
    </w:p>
    <w:p>
      <w:pPr>
        <w:pStyle w:val="Question"/>
        <w:numPr>
          <w:ilvl w:val="0"/>
          <w:numId w:val="11"/>
        </w:numPr>
      </w:pPr>
      <w:r>
        <w:rPr>
          <w:rFonts w:ascii="Calibri" w:hAnsi="Calibri" w:eastAsia="Calibri"/>
          <w:color w:val="1F2937"/>
          <w:sz w:val="22"/>
        </w:rPr>
        <w:t>Кто принимает решение по мотивированному отказу — продавец, MIGTORG или обе стороны? Каков срок рассмотрения и что происходит при разногласии между площадкой и продавцом?</w:t>
      </w:r>
    </w:p>
    <w:p>
      <w:pPr>
        <w:pStyle w:val="Question"/>
        <w:numPr>
          <w:ilvl w:val="0"/>
          <w:numId w:val="11"/>
        </w:numPr>
      </w:pPr>
      <w:r>
        <w:rPr>
          <w:rFonts w:ascii="Calibri" w:hAnsi="Calibri" w:eastAsia="Calibri"/>
          <w:color w:val="1F2937"/>
          <w:sz w:val="22"/>
        </w:rPr>
        <w:t>Какие последствия применяются на каждом этапе отказа: отмена сделки, возврат или удержание комиссии, штраф, удержание обеспечительного платежа, блокировка аккаунта или ограничение видимости лотов продавца? Какие последствия автоматические, а какие требуют отдельного решения?</w:t>
      </w:r>
    </w:p>
    <w:p>
      <w:pPr>
        <w:pStyle w:val="Heading1"/>
      </w:pPr>
      <w:r>
        <w:t>3. Штрафы и их оспаривание</w:t>
      </w:r>
    </w:p>
    <w:p>
      <w:pPr>
        <w:pStyle w:val="Question"/>
        <w:numPr>
          <w:ilvl w:val="0"/>
          <w:numId w:val="12"/>
        </w:numPr>
      </w:pPr>
      <w:r>
        <w:rPr>
          <w:rFonts w:ascii="Calibri" w:hAnsi="Calibri" w:eastAsia="Calibri"/>
          <w:color w:val="1F2937"/>
          <w:sz w:val="22"/>
        </w:rPr>
        <w:t>Утвердите исчерпывающий перечень оснований для штрафов. Какие основания можно сообщать пользователю без проверки аккаунта, а какие раскрываются только после индивидуальной проверки?</w:t>
      </w:r>
    </w:p>
    <w:p>
      <w:pPr>
        <w:pStyle w:val="Question"/>
        <w:numPr>
          <w:ilvl w:val="0"/>
          <w:numId w:val="12"/>
        </w:numPr>
      </w:pPr>
      <w:r>
        <w:rPr>
          <w:rFonts w:ascii="Calibri" w:hAnsi="Calibri" w:eastAsia="Calibri"/>
          <w:color w:val="1F2937"/>
          <w:sz w:val="22"/>
        </w:rPr>
        <w:t>Какие размеры и формулы штрафов действуют сейчас? Подтвердите штраф 10% от ставки за необоснованный отказ и штраф 100 000 рублей за связь с ранее отключённым лицом; перечислите остальные штрафы.</w:t>
      </w:r>
    </w:p>
    <w:p>
      <w:pPr>
        <w:pStyle w:val="Question"/>
        <w:numPr>
          <w:ilvl w:val="0"/>
          <w:numId w:val="12"/>
        </w:numPr>
      </w:pPr>
      <w:r>
        <w:rPr>
          <w:rFonts w:ascii="Calibri" w:hAnsi="Calibri" w:eastAsia="Calibri"/>
          <w:color w:val="1F2937"/>
          <w:sz w:val="22"/>
        </w:rPr>
        <w:t>Где пользователь видит основание, сумму, номер лота и документ, по которому выставлен штраф? Какой источник имеет приоритет при расхождении данных в интерфейсе, уведомлении и договоре?</w:t>
      </w:r>
    </w:p>
    <w:p>
      <w:pPr>
        <w:pStyle w:val="Question"/>
        <w:numPr>
          <w:ilvl w:val="0"/>
          <w:numId w:val="12"/>
        </w:numPr>
      </w:pPr>
      <w:r>
        <w:rPr>
          <w:rFonts w:ascii="Calibri" w:hAnsi="Calibri" w:eastAsia="Calibri"/>
          <w:color w:val="1F2937"/>
          <w:sz w:val="22"/>
        </w:rPr>
        <w:t>Какие функции ограничиваются при неоплаченном штрафе: создание ставок, видимость лотов, вход в аккаунт или вся платформа? Когда и при каких условиях доступ восстанавливается после оплаты?</w:t>
      </w:r>
    </w:p>
    <w:p>
      <w:pPr>
        <w:pStyle w:val="Question"/>
        <w:numPr>
          <w:ilvl w:val="0"/>
          <w:numId w:val="12"/>
        </w:numPr>
      </w:pPr>
      <w:r>
        <w:rPr>
          <w:rFonts w:ascii="Calibri" w:hAnsi="Calibri" w:eastAsia="Calibri"/>
          <w:color w:val="1F2937"/>
          <w:sz w:val="22"/>
        </w:rPr>
        <w:t>Какова обязательная форма оспаривания штрафа и канал подачи: свободное письмо, заявление по шаблону, чат или личный кабинет?</w:t>
      </w:r>
    </w:p>
    <w:p>
      <w:pPr>
        <w:pStyle w:val="Question"/>
        <w:numPr>
          <w:ilvl w:val="0"/>
          <w:numId w:val="12"/>
        </w:numPr>
      </w:pPr>
      <w:r>
        <w:rPr>
          <w:rFonts w:ascii="Calibri" w:hAnsi="Calibri" w:eastAsia="Calibri"/>
          <w:color w:val="1F2937"/>
          <w:sz w:val="22"/>
        </w:rPr>
        <w:t>Какие документы и доказательства обязательны для оспаривания штрафа, а какие предоставляются в зависимости от ситуации?</w:t>
      </w:r>
    </w:p>
    <w:p>
      <w:pPr>
        <w:pStyle w:val="Question"/>
        <w:numPr>
          <w:ilvl w:val="0"/>
          <w:numId w:val="12"/>
        </w:numPr>
      </w:pPr>
      <w:r>
        <w:rPr>
          <w:rFonts w:ascii="Calibri" w:hAnsi="Calibri" w:eastAsia="Calibri"/>
          <w:color w:val="1F2937"/>
          <w:sz w:val="22"/>
        </w:rPr>
        <w:t>Что происходит со сроком оплаты штрафа, доступом к аккаунту и другими обязательствами на время рассмотрения спора: они приостанавливаются или продолжают действовать?</w:t>
      </w:r>
    </w:p>
    <w:p>
      <w:pPr>
        <w:pStyle w:val="Heading1"/>
      </w:pPr>
      <w:r>
        <w:t>4. Доступ к информации и идентификация пользователя</w:t>
      </w:r>
    </w:p>
    <w:p>
      <w:pPr>
        <w:pStyle w:val="Question"/>
        <w:numPr>
          <w:ilvl w:val="0"/>
          <w:numId w:val="13"/>
        </w:numPr>
      </w:pPr>
      <w:r>
        <w:rPr>
          <w:rFonts w:ascii="Calibri" w:hAnsi="Calibri" w:eastAsia="Calibri"/>
          <w:color w:val="1F2937"/>
          <w:sz w:val="22"/>
        </w:rPr>
        <w:t>Утвердите матрицу доступа к информации: какие правила бот сообщает любому пользователю, какие — только после авторизации, а какие — исключительно после проверки сотрудником.</w:t>
      </w:r>
    </w:p>
    <w:p>
      <w:pPr>
        <w:pStyle w:val="Question"/>
        <w:numPr>
          <w:ilvl w:val="0"/>
          <w:numId w:val="13"/>
        </w:numPr>
      </w:pPr>
      <w:r>
        <w:rPr>
          <w:rFonts w:ascii="Calibri" w:hAnsi="Calibri" w:eastAsia="Calibri"/>
          <w:color w:val="1F2937"/>
          <w:sz w:val="22"/>
        </w:rPr>
        <w:t>Для каких операций достаточно авторизации на сайте, а когда требуется дополнительная идентификация пользователя, плательщика, стороны договора или представителя организации?</w:t>
      </w:r>
    </w:p>
    <w:p>
      <w:pPr>
        <w:pStyle w:val="Heading1"/>
      </w:pPr>
      <w:r>
        <w:t>5. Вопросы, на которые в текущей БЗ нет ответа</w:t>
      </w:r>
    </w:p>
    <w:p>
      <w:pPr>
        <w:pStyle w:val="Question"/>
        <w:numPr>
          <w:ilvl w:val="0"/>
          <w:numId w:val="14"/>
        </w:numPr>
      </w:pPr>
      <w:r>
        <w:rPr>
          <w:rFonts w:ascii="Calibri" w:hAnsi="Calibri" w:eastAsia="Calibri"/>
          <w:color w:val="1F2937"/>
          <w:sz w:val="22"/>
        </w:rPr>
        <w:t>Какой единый порядок применять при просрочке оплаты услуг или комиссии, если интерфейс показывает 10 дней, пункт 5.6 договора предусматривает блокировку после более чем 5 рабочих дней, пункт 2.8 — расторжение после более чем 7 календарных дней, а пункт 5.7 — расторжение после более чем 10 рабочих дней? Укажите назначение каждого срока и приоритет правил.</w:t>
      </w:r>
    </w:p>
    <w:p>
      <w:pPr>
        <w:pStyle w:val="Question"/>
        <w:numPr>
          <w:ilvl w:val="0"/>
          <w:numId w:val="14"/>
        </w:numPr>
      </w:pPr>
      <w:r>
        <w:rPr>
          <w:rFonts w:ascii="Calibri" w:hAnsi="Calibri" w:eastAsia="Calibri"/>
          <w:color w:val="1F2937"/>
          <w:sz w:val="22"/>
        </w:rPr>
        <w:t>Что происходит по окончании ограничения использования всей платформы на срок до 7 календарных дней по пункту 2.9 договора: доступ восстанавливается автоматически, проводится проверка или принимается отдельное решение о расторжении?</w:t>
      </w:r>
    </w:p>
    <w:p>
      <w:pPr>
        <w:pStyle w:val="Question"/>
        <w:numPr>
          <w:ilvl w:val="0"/>
          <w:numId w:val="14"/>
        </w:numPr>
      </w:pPr>
      <w:r>
        <w:rPr>
          <w:rFonts w:ascii="Calibri" w:hAnsi="Calibri" w:eastAsia="Calibri"/>
          <w:color w:val="1F2937"/>
          <w:sz w:val="22"/>
        </w:rPr>
        <w:t>Какой документ фактически устанавливает срок оплаты услуг, если пункт 5.5 договора ссылается на Приложение № 2, а в перечне приложений Приложение № 2 обозначено как форма акта об отказе? Нужно ли исправить ссылку в шаблоне договора?</w:t>
      </w:r>
    </w:p>
    <w:p>
      <w:pPr>
        <w:pStyle w:val="Question"/>
        <w:numPr>
          <w:ilvl w:val="0"/>
          <w:numId w:val="14"/>
        </w:numPr>
      </w:pPr>
      <w:r>
        <w:rPr>
          <w:rFonts w:ascii="Calibri" w:hAnsi="Calibri" w:eastAsia="Calibri"/>
          <w:color w:val="1F2937"/>
          <w:sz w:val="22"/>
        </w:rPr>
        <w:t>В какой срок нужно оплатить каждый вид штрафа, от какого события начинается этот срок и где он сообщается пользователю?</w:t>
      </w:r>
    </w:p>
    <w:p>
      <w:pPr>
        <w:pStyle w:val="Question"/>
        <w:numPr>
          <w:ilvl w:val="0"/>
          <w:numId w:val="14"/>
        </w:numPr>
      </w:pPr>
      <w:r>
        <w:rPr>
          <w:rFonts w:ascii="Calibri" w:hAnsi="Calibri" w:eastAsia="Calibri"/>
          <w:color w:val="1F2937"/>
          <w:sz w:val="22"/>
        </w:rPr>
        <w:t>Каков срок подачи возражения на штраф и срок его рассмотрения? От какого события начинается каждый срок?</w:t>
      </w:r>
    </w:p>
    <w:p>
      <w:pPr>
        <w:pStyle w:val="Question"/>
        <w:numPr>
          <w:ilvl w:val="0"/>
          <w:numId w:val="14"/>
        </w:numPr>
      </w:pPr>
      <w:r>
        <w:rPr>
          <w:rFonts w:ascii="Calibri" w:hAnsi="Calibri" w:eastAsia="Calibri"/>
          <w:color w:val="1F2937"/>
          <w:sz w:val="22"/>
        </w:rPr>
        <w:t>Кто принимает окончательное решение по спору о штрафе и какие подразделения или должностные лица его согласуют? Получает ли пользователь мотивированное письменное решение?</w:t>
      </w:r>
    </w:p>
    <w:p>
      <w:pPr>
        <w:pStyle w:val="Question"/>
        <w:numPr>
          <w:ilvl w:val="0"/>
          <w:numId w:val="14"/>
        </w:numPr>
      </w:pPr>
      <w:r>
        <w:rPr>
          <w:rFonts w:ascii="Calibri" w:hAnsi="Calibri" w:eastAsia="Calibri"/>
          <w:color w:val="1F2937"/>
          <w:sz w:val="22"/>
        </w:rPr>
        <w:t>Кто является владельцем содержания и утверждающим экспертом по каждому разделу БЗ: оплаты и комиссии, возвраты, отказы, штрафы, договорные ограничения и безопасность платежей?</w:t>
      </w:r>
    </w:p>
    <w:p>
      <w:pPr>
        <w:pStyle w:val="Question"/>
        <w:numPr>
          <w:ilvl w:val="0"/>
          <w:numId w:val="14"/>
        </w:numPr>
      </w:pPr>
      <w:r>
        <w:rPr>
          <w:rFonts w:ascii="Calibri" w:hAnsi="Calibri" w:eastAsia="Calibri"/>
          <w:color w:val="1F2937"/>
          <w:sz w:val="22"/>
        </w:rPr>
        <w:t>Какова периодичность планового пересмотра каждого раздела БЗ и какие события запускают внеплановую проверку: изменение договора, тарифа, платёжной системы, интерфейса, программы лояльности или процесса сделки?</w:t>
      </w:r>
    </w:p>
    <w:p>
      <w:pPr>
        <w:spacing w:before="320"/>
        <w:jc w:val="center"/>
      </w:pPr>
      <w:r>
        <w:rPr>
          <w:rFonts w:ascii="Calibri" w:hAnsi="Calibri" w:eastAsia="Calibri"/>
          <w:color w:val="667085"/>
          <w:sz w:val="18"/>
        </w:rPr>
        <w:t>Конец перечня • 28 вопросов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7085"/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Calibri"/>
        <w:b/>
        <w:color w:val="667085"/>
        <w:sz w:val="18"/>
      </w:rPr>
      <w:t>MIGTORG  •  База знаний</w:t>
    </w:r>
    <w:r>
      <w:rPr>
        <w:rFonts w:ascii="Calibri" w:hAnsi="Calibri" w:eastAsia="Calibri"/>
        <w:color w:val="667085"/>
        <w:sz w:val="18"/>
      </w:rPr>
      <w:t xml:space="preserve">    |    Вопросы эксперту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8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Normal"/>
    <w:pPr>
      <w:spacing w:before="0" w:after="100" w:line="288" w:lineRule="auto"/>
    </w:pPr>
    <w:rPr>
      <w:rFonts w:ascii="Calibri" w:hAnsi="Calibri"/>
      <w:color w:val="1F2937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Оставшиеся вопросы эксперту после второй части обсуждения</dc:title>
  <dc:subject>Незакрытые вопросы для расширения БЗ MIGTORG</dc:subject>
  <dc:creator>MIGTORG Knowledge Base</dc:creator>
  <cp:keywords>MIGTORG, база знаний, вопросы эксперту, аудит покрытия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