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 w:eastAsia="Calibri"/>
          <w:b/>
          <w:color w:val="1F2937"/>
          <w:sz w:val="46"/>
        </w:rPr>
        <w:t>ОСТАВШИЕСЯ ВОПРОСЫ ЭКСПЕРТУ</w:t>
      </w:r>
    </w:p>
    <w:p>
      <w:pPr>
        <w:spacing w:after="280"/>
      </w:pPr>
      <w:r>
        <w:rPr>
          <w:rFonts w:ascii="Calibri" w:hAnsi="Calibri" w:eastAsia="Calibri"/>
          <w:color w:val="667085"/>
          <w:sz w:val="25"/>
        </w:rPr>
        <w:t>После обработки ответов в опроснике ver. 2 — с подсказками по формату ответа</w:t>
      </w:r>
    </w:p>
    <w:p>
      <w:pPr>
        <w:spacing w:after="240"/>
      </w:pPr>
      <w:r>
        <w:rPr>
          <w:rFonts w:ascii="Calibri" w:hAnsi="Calibri" w:eastAsia="Calibri"/>
          <w:b/>
          <w:color w:val="1F2937"/>
          <w:sz w:val="20"/>
        </w:rPr>
        <w:t xml:space="preserve">Дата сверки: </w:t>
      </w:r>
      <w:r>
        <w:rPr>
          <w:rFonts w:ascii="Calibri" w:hAnsi="Calibri" w:eastAsia="Calibri"/>
          <w:color w:val="1F2937"/>
          <w:sz w:val="20"/>
        </w:rPr>
        <w:t xml:space="preserve">11 августа 2026 г.    </w:t>
      </w:r>
      <w:r>
        <w:rPr>
          <w:rFonts w:ascii="Calibri" w:hAnsi="Calibri" w:eastAsia="Calibri"/>
          <w:b/>
          <w:color w:val="1F2937"/>
          <w:sz w:val="20"/>
        </w:rPr>
        <w:t xml:space="preserve">Открытых вопросов: </w:t>
      </w:r>
      <w:r>
        <w:rPr>
          <w:rFonts w:ascii="Calibri" w:hAnsi="Calibri" w:eastAsia="Calibri"/>
          <w:color w:val="1F2937"/>
          <w:sz w:val="20"/>
        </w:rPr>
        <w:t>22</w:t>
      </w:r>
    </w:p>
    <w:p>
      <w:pPr>
        <w:shd w:fill="F2F4F7"/>
        <w:pBdr>
          <w:top w:val="single" w:sz="6" w:color="D0D5DD" w:space="5"/>
          <w:left w:val="single" w:sz="6" w:color="D0D5DD" w:space="5"/>
          <w:bottom w:val="single" w:sz="6" w:color="D0D5DD" w:space="5"/>
          <w:right w:val="single" w:sz="6" w:color="D0D5DD" w:space="5"/>
        </w:pBdr>
        <w:spacing w:after="240"/>
        <w:ind w:left="115" w:right="115"/>
      </w:pPr>
      <w:r>
        <w:rPr>
          <w:rFonts w:ascii="Calibri" w:hAnsi="Calibri" w:eastAsia="Calibri"/>
          <w:color w:val="1F2937"/>
          <w:sz w:val="21"/>
        </w:rPr>
        <w:t>Из 28 вопросов предыдущего файла 6 закрыты полностью. Пять ответов были частичными: подтверждённые части уже внесены в БЗ, а недостающие уточнения сохранены ниже в сокращённом виде. Ещё 17 вопросов ответа не получили. Итого эксперту передаются 22 открытых вопроса.</w:t>
      </w:r>
    </w:p>
    <w:p>
      <w:pPr>
        <w:spacing w:after="240"/>
      </w:pPr>
      <w:r>
        <w:rPr>
          <w:rFonts w:ascii="Calibri" w:hAnsi="Calibri" w:eastAsia="Calibri"/>
          <w:color w:val="1F2937"/>
          <w:sz w:val="21"/>
        </w:rPr>
        <w:t>Под каждым вопросом указана рекомендуемая структура ответа. Она не ограничивает эксперта, но помогает получить правило, которое можно без догадок перенести в БЗ и ответы бота.</w:t>
      </w:r>
    </w:p>
    <w:p>
      <w:pPr>
        <w:pStyle w:val="Heading1"/>
      </w:pPr>
      <w:r>
        <w:t>1. Программа лояльности</w:t>
      </w:r>
    </w:p>
    <w:p>
      <w:pPr>
        <w:pStyle w:val="OpenQuestion"/>
        <w:numPr>
          <w:ilvl w:val="0"/>
          <w:numId w:val="10"/>
        </w:numPr>
      </w:pPr>
      <w:r>
        <w:rPr>
          <w:rFonts w:ascii="Calibri" w:hAnsi="Calibri" w:eastAsia="Calibri"/>
          <w:color w:val="1F2937"/>
          <w:sz w:val="22"/>
        </w:rPr>
        <w:t>Утвердите полный регламент ежемесячной программы лояльности. Уже подтверждено: кэшбэк получают участники топ-10; места 1–5 получают 100% оплаченной комиссии, места 6–10 — 50%; лимит составляет 300 000 рублей для каждого покупателя из топ-10. Нужно уточнить: какие сделки входят в рейтинг; как учитываются отмены и возвраты; когда начисляется кэшбэк; есть ли срок его действия; кто утверждает изменения программы.</w:t>
      </w:r>
    </w:p>
    <w:p>
      <w:pPr>
        <w:pStyle w:val="AnswerHint"/>
        <w:shd w:fill="E8EEF5"/>
        <w:pBdr>
          <w:left w:val="single" w:sz="12" w:color="B8C7D9" w:space="5"/>
        </w:pBdr>
      </w:pPr>
      <w:r>
        <w:rPr>
          <w:rFonts w:ascii="Calibri" w:hAnsi="Calibri" w:eastAsia="Calibri"/>
          <w:i/>
          <w:color w:val="1F4D78"/>
          <w:sz w:val="19"/>
        </w:rPr>
        <w:t>Лучший формат ответа: компактная таблица «элемент правила — точное условие — исключения — дата/событие — ответственный». Отдельно подтвердить расчёт на одном примере.</w:t>
      </w:r>
    </w:p>
    <w:p>
      <w:pPr>
        <w:pStyle w:val="Heading1"/>
      </w:pPr>
      <w:r>
        <w:t>2. Отказ от выигранного или переданного лота</w:t>
      </w:r>
    </w:p>
    <w:p>
      <w:pPr>
        <w:pStyle w:val="OpenQuestion"/>
        <w:numPr>
          <w:ilvl w:val="0"/>
          <w:numId w:val="11"/>
        </w:numPr>
      </w:pPr>
      <w:r>
        <w:rPr>
          <w:rFonts w:ascii="Calibri" w:hAnsi="Calibri" w:eastAsia="Calibri"/>
          <w:color w:val="1F2937"/>
          <w:sz w:val="22"/>
        </w:rPr>
        <w:t>На каком этапе отказ возможен обычным обращением, когда требуется мотивированный акт, а после какого события отказаться без последствий уже нельзя? Дайте правило отдельно для активной ставки, победы до передачи, переданного лота, получения документов, осмотра и полной оплаты.</w:t>
      </w:r>
    </w:p>
    <w:p>
      <w:pPr>
        <w:pStyle w:val="AnswerHint"/>
        <w:shd w:fill="E8EEF5"/>
        <w:pBdr>
          <w:left w:val="single" w:sz="12" w:color="B8C7D9" w:space="5"/>
        </w:pBdr>
      </w:pPr>
      <w:r>
        <w:rPr>
          <w:rFonts w:ascii="Calibri" w:hAnsi="Calibri" w:eastAsia="Calibri"/>
          <w:i/>
          <w:color w:val="1F4D78"/>
          <w:sz w:val="19"/>
        </w:rPr>
        <w:t>Лучший формат ответа: матрица по этапам сделки с колонками «допустимое действие», «форма обращения», «срок», «последствия» и «кто принимает решение».</w:t>
      </w:r>
    </w:p>
    <w:p>
      <w:pPr>
        <w:pStyle w:val="OpenQuestion"/>
        <w:numPr>
          <w:ilvl w:val="0"/>
          <w:numId w:val="11"/>
        </w:numPr>
      </w:pPr>
      <w:r>
        <w:rPr>
          <w:rFonts w:ascii="Calibri" w:hAnsi="Calibri" w:eastAsia="Calibri"/>
          <w:color w:val="1F2937"/>
          <w:sz w:val="22"/>
        </w:rPr>
        <w:t>Являются ли основания пункта 3.6 договора — недостатки стоимостью не менее 10% стоимости лота и истечение 25-дневного срока предложения — исчерпывающими? Возможен ли мотивированный отказ из-за обременений, расхождений в документах, некомплектности или невозможности осмотра?</w:t>
      </w:r>
    </w:p>
    <w:p>
      <w:pPr>
        <w:pStyle w:val="AnswerHint"/>
        <w:shd w:fill="E8EEF5"/>
        <w:pBdr>
          <w:left w:val="single" w:sz="12" w:color="B8C7D9" w:space="5"/>
        </w:pBdr>
      </w:pPr>
      <w:r>
        <w:rPr>
          <w:rFonts w:ascii="Calibri" w:hAnsi="Calibri" w:eastAsia="Calibri"/>
          <w:i/>
          <w:color w:val="1F4D78"/>
          <w:sz w:val="19"/>
        </w:rPr>
        <w:t>Лучший формат ответа: сначала однозначное «да/нет», затем закрытый перечень допустимых оснований. Для каждого основания указать обязательное доказательство.</w:t>
      </w:r>
    </w:p>
    <w:p>
      <w:pPr>
        <w:pStyle w:val="OpenQuestion"/>
        <w:numPr>
          <w:ilvl w:val="0"/>
          <w:numId w:val="11"/>
        </w:numPr>
      </w:pPr>
      <w:r>
        <w:rPr>
          <w:rFonts w:ascii="Calibri" w:hAnsi="Calibri" w:eastAsia="Calibri"/>
          <w:color w:val="1F2937"/>
          <w:sz w:val="22"/>
        </w:rPr>
        <w:t>Подтверждены два случая немотивированного отказа: устранение недостатков стоит менее 10% стоимости лота; покупатель ссылается на сведения, которых не было в карточке на момент ставки. Являются ли эти случаи исчерпывающими? Какие исключения действуют при форс-мажоре или действиях продавца?</w:t>
      </w:r>
    </w:p>
    <w:p>
      <w:pPr>
        <w:pStyle w:val="AnswerHint"/>
        <w:shd w:fill="E8EEF5"/>
        <w:pBdr>
          <w:left w:val="single" w:sz="12" w:color="B8C7D9" w:space="5"/>
        </w:pBdr>
      </w:pPr>
      <w:r>
        <w:rPr>
          <w:rFonts w:ascii="Calibri" w:hAnsi="Calibri" w:eastAsia="Calibri"/>
          <w:i/>
          <w:color w:val="1F4D78"/>
          <w:sz w:val="19"/>
        </w:rPr>
        <w:t>Лучший формат ответа: два отдельных списка — «не признаётся мотивированным» и «исключения». Для каждого исключения указать подтверждающий документ и лицо, принимающее решение.</w:t>
      </w:r>
    </w:p>
    <w:p>
      <w:pPr>
        <w:pStyle w:val="OpenQuestion"/>
        <w:numPr>
          <w:ilvl w:val="0"/>
          <w:numId w:val="11"/>
        </w:numPr>
      </w:pPr>
      <w:r>
        <w:rPr>
          <w:rFonts w:ascii="Calibri" w:hAnsi="Calibri" w:eastAsia="Calibri"/>
          <w:color w:val="1F2937"/>
          <w:sz w:val="22"/>
        </w:rPr>
        <w:t>Как применяется срок 3 рабочих дня на подачу акта, если осмотр или документы задерживает продавец: срок приостанавливается, начинается позже или сохраняется без изменений? Как подтвердить задержку?</w:t>
      </w:r>
    </w:p>
    <w:p>
      <w:pPr>
        <w:pStyle w:val="AnswerHint"/>
        <w:shd w:fill="E8EEF5"/>
        <w:pBdr>
          <w:left w:val="single" w:sz="12" w:color="B8C7D9" w:space="5"/>
        </w:pBdr>
      </w:pPr>
      <w:r>
        <w:rPr>
          <w:rFonts w:ascii="Calibri" w:hAnsi="Calibri" w:eastAsia="Calibri"/>
          <w:i/>
          <w:color w:val="1F4D78"/>
          <w:sz w:val="19"/>
        </w:rPr>
        <w:t>Лучший формат ответа: одно правило исчисления срока с событиями «старт / приостановка / возобновление / окончание» и перечнем допустимых подтверждений задержки.</w:t>
      </w:r>
    </w:p>
    <w:p>
      <w:pPr>
        <w:pStyle w:val="OpenQuestion"/>
        <w:numPr>
          <w:ilvl w:val="0"/>
          <w:numId w:val="11"/>
        </w:numPr>
      </w:pPr>
      <w:r>
        <w:rPr>
          <w:rFonts w:ascii="Calibri" w:hAnsi="Calibri" w:eastAsia="Calibri"/>
          <w:color w:val="1F2937"/>
          <w:sz w:val="22"/>
        </w:rPr>
        <w:t>Какие последствия применяются на каждом этапе отказа: отмена сделки, возврат или удержание комиссии, штраф, удержание обеспечительного платежа, блокировка аккаунта или ограничение видимости лотов продавца? Какие последствия автоматические, а какие требуют отдельного решения?</w:t>
      </w:r>
    </w:p>
    <w:p>
      <w:pPr>
        <w:pStyle w:val="AnswerHint"/>
        <w:shd w:fill="E8EEF5"/>
        <w:pBdr>
          <w:left w:val="single" w:sz="12" w:color="B8C7D9" w:space="5"/>
        </w:pBdr>
      </w:pPr>
      <w:r>
        <w:rPr>
          <w:rFonts w:ascii="Calibri" w:hAnsi="Calibri" w:eastAsia="Calibri"/>
          <w:i/>
          <w:color w:val="1F4D78"/>
          <w:sz w:val="19"/>
        </w:rPr>
        <w:t>Лучший формат ответа: матрица «этап — последствие — размер/срок — автоматически или по решению — кто решает». Если последствие не применяется, поставить «нет».</w:t>
      </w:r>
    </w:p>
    <w:p>
      <w:pPr>
        <w:pStyle w:val="Heading1"/>
      </w:pPr>
      <w:r>
        <w:t>3. Штрафы и их оспаривание</w:t>
      </w:r>
    </w:p>
    <w:p>
      <w:pPr>
        <w:pStyle w:val="OpenQuestion"/>
        <w:numPr>
          <w:ilvl w:val="0"/>
          <w:numId w:val="12"/>
        </w:numPr>
      </w:pPr>
      <w:r>
        <w:rPr>
          <w:rFonts w:ascii="Calibri" w:hAnsi="Calibri" w:eastAsia="Calibri"/>
          <w:color w:val="1F2937"/>
          <w:sz w:val="22"/>
        </w:rPr>
        <w:t>Утвердите исчерпывающий перечень оснований для штрафов. Какие основания можно сообщать пользователю после авторизации, а какие раскрываются только после индивидуальной проверки?</w:t>
      </w:r>
    </w:p>
    <w:p>
      <w:pPr>
        <w:pStyle w:val="AnswerHint"/>
        <w:shd w:fill="E8EEF5"/>
        <w:pBdr>
          <w:left w:val="single" w:sz="12" w:color="B8C7D9" w:space="5"/>
        </w:pBdr>
      </w:pPr>
      <w:r>
        <w:rPr>
          <w:rFonts w:ascii="Calibri" w:hAnsi="Calibri" w:eastAsia="Calibri"/>
          <w:i/>
          <w:color w:val="1F4D78"/>
          <w:sz w:val="19"/>
        </w:rPr>
        <w:t>Лучший формат ответа: два закрытых списка — «доступно авторизованному пользователю» и «только после проверки сотрудником» — со ссылкой на договор или регламент.</w:t>
      </w:r>
    </w:p>
    <w:p>
      <w:pPr>
        <w:pStyle w:val="OpenQuestion"/>
        <w:numPr>
          <w:ilvl w:val="0"/>
          <w:numId w:val="12"/>
        </w:numPr>
      </w:pPr>
      <w:r>
        <w:rPr>
          <w:rFonts w:ascii="Calibri" w:hAnsi="Calibri" w:eastAsia="Calibri"/>
          <w:color w:val="1F2937"/>
          <w:sz w:val="22"/>
        </w:rPr>
        <w:t>Какие размеры и формулы штрафов действуют сейчас? Подтвердите штраф 10% от ставки за необоснованный отказ и 100 000 рублей за связь с ранее отключённым лицом; перечислите остальные штрафы.</w:t>
      </w:r>
    </w:p>
    <w:p>
      <w:pPr>
        <w:pStyle w:val="AnswerHint"/>
        <w:shd w:fill="E8EEF5"/>
        <w:pBdr>
          <w:left w:val="single" w:sz="12" w:color="B8C7D9" w:space="5"/>
        </w:pBdr>
      </w:pPr>
      <w:r>
        <w:rPr>
          <w:rFonts w:ascii="Calibri" w:hAnsi="Calibri" w:eastAsia="Calibri"/>
          <w:i/>
          <w:color w:val="1F4D78"/>
          <w:sz w:val="19"/>
        </w:rPr>
        <w:t>Лучший формат ответа: таблица «основание — база расчёта — формула/фиксированная сумма — минимум/максимум — источник — дата действия».</w:t>
      </w:r>
    </w:p>
    <w:p>
      <w:pPr>
        <w:pStyle w:val="OpenQuestion"/>
        <w:numPr>
          <w:ilvl w:val="0"/>
          <w:numId w:val="12"/>
        </w:numPr>
      </w:pPr>
      <w:r>
        <w:rPr>
          <w:rFonts w:ascii="Calibri" w:hAnsi="Calibri" w:eastAsia="Calibri"/>
          <w:color w:val="1F2937"/>
          <w:sz w:val="22"/>
        </w:rPr>
        <w:t>Где пользователь видит основание, сумму, номер лота и документ, по которому выставлен штраф? Какой источник имеет приоритет при расхождении данных в интерфейсе, уведомлении и договоре?</w:t>
      </w:r>
    </w:p>
    <w:p>
      <w:pPr>
        <w:pStyle w:val="AnswerHint"/>
        <w:shd w:fill="E8EEF5"/>
        <w:pBdr>
          <w:left w:val="single" w:sz="12" w:color="B8C7D9" w:space="5"/>
        </w:pBdr>
      </w:pPr>
      <w:r>
        <w:rPr>
          <w:rFonts w:ascii="Calibri" w:hAnsi="Calibri" w:eastAsia="Calibri"/>
          <w:i/>
          <w:color w:val="1F4D78"/>
          <w:sz w:val="19"/>
        </w:rPr>
        <w:t>Лучший формат ответа: назвать точный экран, письмо или документ для каждого реквизита и дать явный порядок приоритета источников от главного к вспомогательному.</w:t>
      </w:r>
    </w:p>
    <w:p>
      <w:pPr>
        <w:pStyle w:val="OpenQuestion"/>
        <w:numPr>
          <w:ilvl w:val="0"/>
          <w:numId w:val="12"/>
        </w:numPr>
      </w:pPr>
      <w:r>
        <w:rPr>
          <w:rFonts w:ascii="Calibri" w:hAnsi="Calibri" w:eastAsia="Calibri"/>
          <w:color w:val="1F2937"/>
          <w:sz w:val="22"/>
        </w:rPr>
        <w:t>Какие функции ограничиваются при неоплаченном штрафе: ставки, видимость лотов, вход в аккаунт или вся платформа? Когда и при каких условиях доступ восстанавливается после оплаты?</w:t>
      </w:r>
    </w:p>
    <w:p>
      <w:pPr>
        <w:pStyle w:val="AnswerHint"/>
        <w:shd w:fill="E8EEF5"/>
        <w:pBdr>
          <w:left w:val="single" w:sz="12" w:color="B8C7D9" w:space="5"/>
        </w:pBdr>
      </w:pPr>
      <w:r>
        <w:rPr>
          <w:rFonts w:ascii="Calibri" w:hAnsi="Calibri" w:eastAsia="Calibri"/>
          <w:i/>
          <w:color w:val="1F4D78"/>
          <w:sz w:val="19"/>
        </w:rPr>
        <w:t>Лучший формат ответа: перечень ограничиваемых функций с условиями включения и снятия; отдельно указать, автоматическое ли восстановление и максимальный срок обновления статуса.</w:t>
      </w:r>
    </w:p>
    <w:p>
      <w:pPr>
        <w:pStyle w:val="OpenQuestion"/>
        <w:numPr>
          <w:ilvl w:val="0"/>
          <w:numId w:val="12"/>
        </w:numPr>
      </w:pPr>
      <w:r>
        <w:rPr>
          <w:rFonts w:ascii="Calibri" w:hAnsi="Calibri" w:eastAsia="Calibri"/>
          <w:color w:val="1F2937"/>
          <w:sz w:val="22"/>
        </w:rPr>
        <w:t>Какова обязательная форма оспаривания штрафа и канал подачи: свободное письмо, заявление по шаблону, чат или личный кабинет?</w:t>
      </w:r>
    </w:p>
    <w:p>
      <w:pPr>
        <w:pStyle w:val="AnswerHint"/>
        <w:shd w:fill="E8EEF5"/>
        <w:pBdr>
          <w:left w:val="single" w:sz="12" w:color="B8C7D9" w:space="5"/>
        </w:pBdr>
      </w:pPr>
      <w:r>
        <w:rPr>
          <w:rFonts w:ascii="Calibri" w:hAnsi="Calibri" w:eastAsia="Calibri"/>
          <w:i/>
          <w:color w:val="1F4D78"/>
          <w:sz w:val="19"/>
        </w:rPr>
        <w:t>Лучший формат ответа: выбрать один основной канал и форму; приложить шаблон или перечислить обязательные поля заявления. Допустимые резервные каналы указать отдельно.</w:t>
      </w:r>
    </w:p>
    <w:p>
      <w:pPr>
        <w:pStyle w:val="OpenQuestion"/>
        <w:numPr>
          <w:ilvl w:val="0"/>
          <w:numId w:val="12"/>
        </w:numPr>
      </w:pPr>
      <w:r>
        <w:rPr>
          <w:rFonts w:ascii="Calibri" w:hAnsi="Calibri" w:eastAsia="Calibri"/>
          <w:color w:val="1F2937"/>
          <w:sz w:val="22"/>
        </w:rPr>
        <w:t>Какие документы и доказательства обязательны для оспаривания штрафа, а какие предоставляются в зависимости от ситуации?</w:t>
      </w:r>
    </w:p>
    <w:p>
      <w:pPr>
        <w:pStyle w:val="AnswerHint"/>
        <w:shd w:fill="E8EEF5"/>
        <w:pBdr>
          <w:left w:val="single" w:sz="12" w:color="B8C7D9" w:space="5"/>
        </w:pBdr>
      </w:pPr>
      <w:r>
        <w:rPr>
          <w:rFonts w:ascii="Calibri" w:hAnsi="Calibri" w:eastAsia="Calibri"/>
          <w:i/>
          <w:color w:val="1F4D78"/>
          <w:sz w:val="19"/>
        </w:rPr>
        <w:t>Лучший формат ответа: два списка — «обязательно всегда» и «по основанию штрафа». Для условных документов указать, в каком случае каждый нужен.</w:t>
      </w:r>
    </w:p>
    <w:p>
      <w:pPr>
        <w:pStyle w:val="OpenQuestion"/>
        <w:numPr>
          <w:ilvl w:val="0"/>
          <w:numId w:val="12"/>
        </w:numPr>
      </w:pPr>
      <w:r>
        <w:rPr>
          <w:rFonts w:ascii="Calibri" w:hAnsi="Calibri" w:eastAsia="Calibri"/>
          <w:color w:val="1F2937"/>
          <w:sz w:val="22"/>
        </w:rPr>
        <w:t>Что происходит со сроком оплаты штрафа, доступом к аккаунту и другими обязательствами во время рассмотрения спора: они приостанавливаются или продолжают действовать?</w:t>
      </w:r>
    </w:p>
    <w:p>
      <w:pPr>
        <w:pStyle w:val="AnswerHint"/>
        <w:shd w:fill="E8EEF5"/>
        <w:pBdr>
          <w:left w:val="single" w:sz="12" w:color="B8C7D9" w:space="5"/>
        </w:pBdr>
      </w:pPr>
      <w:r>
        <w:rPr>
          <w:rFonts w:ascii="Calibri" w:hAnsi="Calibri" w:eastAsia="Calibri"/>
          <w:i/>
          <w:color w:val="1F4D78"/>
          <w:sz w:val="19"/>
        </w:rPr>
        <w:t>Лучший формат ответа: отдельное «да/нет» для срока оплаты, доступа и других обязательств; указать событие начала и окончания приостановки, если она предусмотрена.</w:t>
      </w:r>
    </w:p>
    <w:p>
      <w:pPr>
        <w:pStyle w:val="Heading1"/>
      </w:pPr>
      <w:r>
        <w:t>4. Доступ к информации и идентификация</w:t>
      </w:r>
    </w:p>
    <w:p>
      <w:pPr>
        <w:pStyle w:val="OpenQuestion"/>
        <w:numPr>
          <w:ilvl w:val="0"/>
          <w:numId w:val="13"/>
        </w:numPr>
      </w:pPr>
      <w:r>
        <w:rPr>
          <w:rFonts w:ascii="Calibri" w:hAnsi="Calibri" w:eastAsia="Calibri"/>
          <w:color w:val="1F2937"/>
          <w:sz w:val="22"/>
        </w:rPr>
        <w:t>Какие сведения после регистрации всё равно доступны только сотруднику после индивидуальной проверки? Укажите границу для персональных причин блокировки, штрафов, возвратов, платежей, лотов и решений продавца.</w:t>
      </w:r>
    </w:p>
    <w:p>
      <w:pPr>
        <w:pStyle w:val="AnswerHint"/>
        <w:shd w:fill="E8EEF5"/>
        <w:pBdr>
          <w:left w:val="single" w:sz="12" w:color="B8C7D9" w:space="5"/>
        </w:pBdr>
      </w:pPr>
      <w:r>
        <w:rPr>
          <w:rFonts w:ascii="Calibri" w:hAnsi="Calibri" w:eastAsia="Calibri"/>
          <w:i/>
          <w:color w:val="1F4D78"/>
          <w:sz w:val="19"/>
        </w:rPr>
        <w:t>Лучший формат ответа: трёхуровневая матрица «публично / после регистрации / только сотруднику» с 2–3 примерами формулировок для каждой темы.</w:t>
      </w:r>
    </w:p>
    <w:p>
      <w:pPr>
        <w:pStyle w:val="OpenQuestion"/>
        <w:numPr>
          <w:ilvl w:val="0"/>
          <w:numId w:val="13"/>
        </w:numPr>
      </w:pPr>
      <w:r>
        <w:rPr>
          <w:rFonts w:ascii="Calibri" w:hAnsi="Calibri" w:eastAsia="Calibri"/>
          <w:color w:val="1F2937"/>
          <w:sz w:val="22"/>
        </w:rPr>
        <w:t>Какая дополнительная идентификация требуется за пределами демо-тарифа для пользователя, плательщика, стороны договора и представителя организации? Для каких операций она обязательна?</w:t>
      </w:r>
    </w:p>
    <w:p>
      <w:pPr>
        <w:pStyle w:val="AnswerHint"/>
        <w:shd w:fill="E8EEF5"/>
        <w:pBdr>
          <w:left w:val="single" w:sz="12" w:color="B8C7D9" w:space="5"/>
        </w:pBdr>
      </w:pPr>
      <w:r>
        <w:rPr>
          <w:rFonts w:ascii="Calibri" w:hAnsi="Calibri" w:eastAsia="Calibri"/>
          <w:i/>
          <w:color w:val="1F4D78"/>
          <w:sz w:val="19"/>
        </w:rPr>
        <w:t>Лучший формат ответа: таблица «операция — кого проверяем — способ проверки — необходимые документы/данные — кто подтверждает». Демо-тариф вынести отдельной строкой.</w:t>
      </w:r>
    </w:p>
    <w:p>
      <w:pPr>
        <w:pStyle w:val="Heading1"/>
      </w:pPr>
      <w:r>
        <w:t>5. Договорные сроки и управление БЗ</w:t>
      </w:r>
    </w:p>
    <w:p>
      <w:pPr>
        <w:pStyle w:val="OpenQuestion"/>
        <w:numPr>
          <w:ilvl w:val="0"/>
          <w:numId w:val="14"/>
        </w:numPr>
      </w:pPr>
      <w:r>
        <w:rPr>
          <w:rFonts w:ascii="Calibri" w:hAnsi="Calibri" w:eastAsia="Calibri"/>
          <w:color w:val="1F2937"/>
          <w:sz w:val="22"/>
        </w:rPr>
        <w:t>Если пользователь устранил нарушение до решения о расторжении, что происходит после ограничения всей платформы на срок до 7 календарных дней: доступ восстанавливается автоматически или только по отдельному решению?</w:t>
      </w:r>
    </w:p>
    <w:p>
      <w:pPr>
        <w:pStyle w:val="AnswerHint"/>
        <w:shd w:fill="E8EEF5"/>
        <w:pBdr>
          <w:left w:val="single" w:sz="12" w:color="B8C7D9" w:space="5"/>
        </w:pBdr>
      </w:pPr>
      <w:r>
        <w:rPr>
          <w:rFonts w:ascii="Calibri" w:hAnsi="Calibri" w:eastAsia="Calibri"/>
          <w:i/>
          <w:color w:val="1F4D78"/>
          <w:sz w:val="19"/>
        </w:rPr>
        <w:t>Лучший формат ответа: короткое дерево решений с исходами «нарушение устранено / не устранено / принято решение о расторжении», сроком и ответственным для каждого исхода.</w:t>
      </w:r>
    </w:p>
    <w:p>
      <w:pPr>
        <w:pStyle w:val="OpenQuestion"/>
        <w:numPr>
          <w:ilvl w:val="0"/>
          <w:numId w:val="14"/>
        </w:numPr>
      </w:pPr>
      <w:r>
        <w:rPr>
          <w:rFonts w:ascii="Calibri" w:hAnsi="Calibri" w:eastAsia="Calibri"/>
          <w:color w:val="1F2937"/>
          <w:sz w:val="22"/>
        </w:rPr>
        <w:t>Какой документ фактически устанавливает срок оплаты услуг, если пункт 5.5 договора ссылается на Приложение № 2, а Приложение № 2 является формой акта об отказе? Нужно ли исправить ссылку в шаблоне договора?</w:t>
      </w:r>
    </w:p>
    <w:p>
      <w:pPr>
        <w:pStyle w:val="AnswerHint"/>
        <w:shd w:fill="E8EEF5"/>
        <w:pBdr>
          <w:left w:val="single" w:sz="12" w:color="B8C7D9" w:space="5"/>
        </w:pBdr>
      </w:pPr>
      <w:r>
        <w:rPr>
          <w:rFonts w:ascii="Calibri" w:hAnsi="Calibri" w:eastAsia="Calibri"/>
          <w:i/>
          <w:color w:val="1F4D78"/>
          <w:sz w:val="19"/>
        </w:rPr>
        <w:t>Лучший формат ответа: назвать правильный документ и пункт, привести точную формулировку действующего срока и отдельно указать конкретную правку в шаблоне договора.</w:t>
      </w:r>
    </w:p>
    <w:p>
      <w:pPr>
        <w:pStyle w:val="OpenQuestion"/>
        <w:numPr>
          <w:ilvl w:val="0"/>
          <w:numId w:val="14"/>
        </w:numPr>
      </w:pPr>
      <w:r>
        <w:rPr>
          <w:rFonts w:ascii="Calibri" w:hAnsi="Calibri" w:eastAsia="Calibri"/>
          <w:color w:val="1F2937"/>
          <w:sz w:val="22"/>
        </w:rPr>
        <w:t>В какой срок нужно оплатить каждый вид штрафа, от какого события начинается срок и где он сообщается пользователю?</w:t>
      </w:r>
    </w:p>
    <w:p>
      <w:pPr>
        <w:pStyle w:val="AnswerHint"/>
        <w:shd w:fill="E8EEF5"/>
        <w:pBdr>
          <w:left w:val="single" w:sz="12" w:color="B8C7D9" w:space="5"/>
        </w:pBdr>
      </w:pPr>
      <w:r>
        <w:rPr>
          <w:rFonts w:ascii="Calibri" w:hAnsi="Calibri" w:eastAsia="Calibri"/>
          <w:i/>
          <w:color w:val="1F4D78"/>
          <w:sz w:val="19"/>
        </w:rPr>
        <w:t>Лучший формат ответа: таблица по всем видам штрафов с колонками «срок», «событие начала», «канал уведомления», «последствие просрочки».</w:t>
      </w:r>
    </w:p>
    <w:p>
      <w:pPr>
        <w:pStyle w:val="OpenQuestion"/>
        <w:numPr>
          <w:ilvl w:val="0"/>
          <w:numId w:val="14"/>
        </w:numPr>
      </w:pPr>
      <w:r>
        <w:rPr>
          <w:rFonts w:ascii="Calibri" w:hAnsi="Calibri" w:eastAsia="Calibri"/>
          <w:color w:val="1F2937"/>
          <w:sz w:val="22"/>
        </w:rPr>
        <w:t>Каков срок подачи возражения на штраф и срок его рассмотрения? От какого события начинается каждый срок?</w:t>
      </w:r>
    </w:p>
    <w:p>
      <w:pPr>
        <w:pStyle w:val="AnswerHint"/>
        <w:shd w:fill="E8EEF5"/>
        <w:pBdr>
          <w:left w:val="single" w:sz="12" w:color="B8C7D9" w:space="5"/>
        </w:pBdr>
      </w:pPr>
      <w:r>
        <w:rPr>
          <w:rFonts w:ascii="Calibri" w:hAnsi="Calibri" w:eastAsia="Calibri"/>
          <w:i/>
          <w:color w:val="1F4D78"/>
          <w:sz w:val="19"/>
        </w:rPr>
        <w:t>Лучший формат ответа: временная шкала из четырёх точек — уведомление, крайний срок возражения, начало рассмотрения, крайний срок решения — с указанием рабочих или календарных дней.</w:t>
      </w:r>
    </w:p>
    <w:p>
      <w:pPr>
        <w:pStyle w:val="OpenQuestion"/>
        <w:numPr>
          <w:ilvl w:val="0"/>
          <w:numId w:val="14"/>
        </w:numPr>
      </w:pPr>
      <w:r>
        <w:rPr>
          <w:rFonts w:ascii="Calibri" w:hAnsi="Calibri" w:eastAsia="Calibri"/>
          <w:color w:val="1F2937"/>
          <w:sz w:val="22"/>
        </w:rPr>
        <w:t>Кто принимает окончательное решение по спору о штрафе и какие подразделения или должностные лица его согласуют? Получает ли пользователь мотивированное письменное решение?</w:t>
      </w:r>
    </w:p>
    <w:p>
      <w:pPr>
        <w:pStyle w:val="AnswerHint"/>
        <w:shd w:fill="E8EEF5"/>
        <w:pBdr>
          <w:left w:val="single" w:sz="12" w:color="B8C7D9" w:space="5"/>
        </w:pBdr>
      </w:pPr>
      <w:r>
        <w:rPr>
          <w:rFonts w:ascii="Calibri" w:hAnsi="Calibri" w:eastAsia="Calibri"/>
          <w:i/>
          <w:color w:val="1F4D78"/>
          <w:sz w:val="19"/>
        </w:rPr>
        <w:t>Лучший формат ответа: роли «принимает / согласует / уведомляет», срок уведомления и обязательные реквизиты итогового решения. Указать канал отправки пользователю.</w:t>
      </w:r>
    </w:p>
    <w:p>
      <w:pPr>
        <w:pStyle w:val="OpenQuestion"/>
        <w:numPr>
          <w:ilvl w:val="0"/>
          <w:numId w:val="14"/>
        </w:numPr>
      </w:pPr>
      <w:r>
        <w:rPr>
          <w:rFonts w:ascii="Calibri" w:hAnsi="Calibri" w:eastAsia="Calibri"/>
          <w:color w:val="1F2937"/>
          <w:sz w:val="22"/>
        </w:rPr>
        <w:t>Кто является владельцем содержания и утверждающим экспертом по разделам БЗ: оплаты и комиссии, возвраты, отказы, штрафы, договорные ограничения и безопасность платежей?</w:t>
      </w:r>
    </w:p>
    <w:p>
      <w:pPr>
        <w:pStyle w:val="AnswerHint"/>
        <w:shd w:fill="E8EEF5"/>
        <w:pBdr>
          <w:left w:val="single" w:sz="12" w:color="B8C7D9" w:space="5"/>
        </w:pBdr>
      </w:pPr>
      <w:r>
        <w:rPr>
          <w:rFonts w:ascii="Calibri" w:hAnsi="Calibri" w:eastAsia="Calibri"/>
          <w:i/>
          <w:color w:val="1F4D78"/>
          <w:sz w:val="19"/>
        </w:rPr>
        <w:t>Лучший формат ответа: таблица «раздел — владелец — утверждающий эксперт — заместитель — рабочий контакт/подразделение». Нужны роли или должности, а не только общие названия команд.</w:t>
      </w:r>
    </w:p>
    <w:p>
      <w:pPr>
        <w:pStyle w:val="OpenQuestion"/>
        <w:numPr>
          <w:ilvl w:val="0"/>
          <w:numId w:val="14"/>
        </w:numPr>
      </w:pPr>
      <w:r>
        <w:rPr>
          <w:rFonts w:ascii="Calibri" w:hAnsi="Calibri" w:eastAsia="Calibri"/>
          <w:color w:val="1F2937"/>
          <w:sz w:val="22"/>
        </w:rPr>
        <w:t>Какова периодичность планового пересмотра каждого раздела БЗ и какие события запускают внеплановую проверку: изменение договора, тарифа, платёжной системы, интерфейса, программы лояльности или процесса сделки?</w:t>
      </w:r>
    </w:p>
    <w:p>
      <w:pPr>
        <w:pStyle w:val="AnswerHint"/>
        <w:shd w:fill="E8EEF5"/>
        <w:pBdr>
          <w:left w:val="single" w:sz="12" w:color="B8C7D9" w:space="5"/>
        </w:pBdr>
      </w:pPr>
      <w:r>
        <w:rPr>
          <w:rFonts w:ascii="Calibri" w:hAnsi="Calibri" w:eastAsia="Calibri"/>
          <w:i/>
          <w:color w:val="1F4D78"/>
          <w:sz w:val="19"/>
        </w:rPr>
        <w:t>Лучший формат ответа: таблица «раздел — период пересмотра — события внеплановой проверки — срок обновления — ответственный за публикацию».</w:t>
      </w:r>
    </w:p>
    <w:p>
      <w:pPr>
        <w:spacing w:before="280"/>
        <w:jc w:val="center"/>
      </w:pPr>
      <w:r>
        <w:rPr>
          <w:rFonts w:ascii="Calibri" w:hAnsi="Calibri" w:eastAsia="Calibri"/>
          <w:color w:val="667085"/>
          <w:sz w:val="18"/>
        </w:rPr>
        <w:t>Конец перечня • 22 открытых вопроса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7085"/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Calibri"/>
        <w:b/>
        <w:color w:val="667085"/>
        <w:sz w:val="18"/>
      </w:rPr>
      <w:t>MIGTORG  •  База знаний</w:t>
    </w:r>
    <w:r>
      <w:rPr>
        <w:rFonts w:ascii="Calibri" w:hAnsi="Calibri" w:eastAsia="Calibri"/>
        <w:color w:val="667085"/>
        <w:sz w:val="18"/>
      </w:rPr>
      <w:t xml:space="preserve">    |    Открытые вопросы эксперту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penQuestion">
    <w:name w:val="Open Question"/>
    <w:basedOn w:val="Normal"/>
    <w:pPr>
      <w:keepNext/>
      <w:spacing w:before="40" w:after="80" w:line="300" w:lineRule="auto"/>
    </w:pPr>
    <w:rPr>
      <w:rFonts w:ascii="Calibri" w:hAnsi="Calibri"/>
      <w:color w:val="1F2937"/>
      <w:sz w:val="22"/>
    </w:rPr>
  </w:style>
  <w:style w:type="paragraph" w:customStyle="1" w:styleId="AnswerHint">
    <w:name w:val="Answer Hint"/>
    <w:basedOn w:val="Normal"/>
    <w:pPr>
      <w:keepLines/>
      <w:spacing w:before="0" w:after="160" w:line="276" w:lineRule="auto"/>
      <w:ind w:left="547" w:right="115"/>
    </w:pPr>
    <w:rPr>
      <w:rFonts w:ascii="Calibri" w:hAnsi="Calibri"/>
      <w:color w:val="1F4D7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Оставшиеся вопросы эксперту после опросника ver. 2</dc:title>
  <dc:subject>Открытые вопросы для расширения БЗ MIGTORG с подсказками по формату ответа</dc:subject>
  <dc:creator>MIGTORG Knowledge Base</dc:creator>
  <cp:keywords>MIGTORG, база знаний, вопросы эксперту, формат ответа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