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1B" w:rsidRPr="0045451B" w:rsidRDefault="0045451B" w:rsidP="0045451B">
      <w:pPr>
        <w:jc w:val="both"/>
        <w:rPr>
          <w:rFonts w:ascii="Times New Roman" w:eastAsia="Times New Roman" w:hAnsi="Times New Roman" w:cs="Times New Roman"/>
          <w:b/>
          <w:szCs w:val="20"/>
          <w:lang w:val="ru-RU" w:eastAsia="ru-RU"/>
        </w:rPr>
      </w:pPr>
      <w:bookmarkStart w:id="0" w:name="_GoBack"/>
      <w:bookmarkEnd w:id="0"/>
      <w:r w:rsidRPr="0045451B">
        <w:rPr>
          <w:rFonts w:ascii="Times New Roman" w:eastAsiaTheme="minorHAnsi" w:hAnsi="Times New Roman" w:cs="Times New Roman"/>
          <w:b/>
          <w:color w:val="000000"/>
          <w:sz w:val="28"/>
          <w:szCs w:val="24"/>
          <w:lang w:val="ru-RU" w:eastAsia="ru-RU"/>
        </w:rPr>
        <w:t xml:space="preserve">Задание 1.1. </w:t>
      </w:r>
      <w:r w:rsidRPr="0045451B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-RU" w:eastAsia="ru-RU"/>
        </w:rPr>
        <w:t xml:space="preserve"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</w:r>
    </w:p>
    <w:p w:rsidR="0045451B" w:rsidRDefault="0045451B" w:rsidP="00730C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C28" w:rsidRPr="00F07CE0" w:rsidRDefault="00730C28" w:rsidP="00730C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b/>
          <w:sz w:val="28"/>
          <w:szCs w:val="28"/>
          <w:lang w:val="ru-RU"/>
        </w:rPr>
        <w:t>Структура РГПУ им. А. И. Герцена</w:t>
      </w:r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Факультеты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Безопасности жизнедеятельности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Биологии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Географии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Изобразительного искусства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Математики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Русского языка как иностранного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Физики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Филологический</w:t>
      </w:r>
    </w:p>
    <w:p w:rsid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Химии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Юридический</w:t>
      </w:r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Институты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музыки, театра и хореографии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иностранных языков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истории и социальных наук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востоковедения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экономики и управления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физической культуры и спорта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психологии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педагогики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народов Севера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дефектологического образования и реабилитации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информационных технологий и технологического образования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философии человека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детства</w:t>
      </w:r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Филиалы</w:t>
      </w:r>
    </w:p>
    <w:p w:rsidR="00730C28" w:rsidRPr="00F07CE0" w:rsidRDefault="00730C28" w:rsidP="00F07CE0">
      <w:pPr>
        <w:pStyle w:val="a3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Выборгский</w:t>
      </w:r>
    </w:p>
    <w:p w:rsidR="00730C28" w:rsidRPr="00F07CE0" w:rsidRDefault="00730C28" w:rsidP="00F07CE0">
      <w:pPr>
        <w:pStyle w:val="a3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Дагестанский</w:t>
      </w:r>
    </w:p>
    <w:p w:rsidR="00730C28" w:rsidRPr="00F07CE0" w:rsidRDefault="00730C28" w:rsidP="00F07CE0">
      <w:pPr>
        <w:pStyle w:val="a3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Волховский</w:t>
      </w:r>
      <w:proofErr w:type="spellEnd"/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Центры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УМЛ «Музыкально-компьютерные технологии»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Центр тестирования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Центр по работе с талантливой молодежью и абитуриентами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Психологическая служба сопровождения студентов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Центр духовно-нравственного просвещения «Покровский»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Ресурсный учебно-методический центр по обучению инвалидов и лиц с ограниченными возможностями здоровья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Центр содействия трудоустройству выпускников «Мост»</w:t>
      </w:r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Другие подразделения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Учебно-методическое управление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бухгалтерского учета и финансового контроля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Учебное управление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закупок и продаж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информатизации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по связям с общественностью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дополнительного образования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кадров и социальной работы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ремонта, модернизации и перспективного развития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международного сотрудничества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обеспечения сотрудничества с образовательными организациями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научных исследований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по обеспечению управлением имущественным комплексом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охраны и пожарной безопасности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Планово-финансовое управление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организации диссертационных исследований и аттестации кадров высшей квалификации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развитием воспитательной деятельности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развития педагогического образования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социально-бытового обеспечения и обслуживания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баз практик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Этический комитет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Педагогические вести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Музей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Отдел ученого секретаря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Отдел аспирантуры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Канцелярия (Организационно-контрольное управление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Отдел по работе с выпускниками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>Русская роговая капелла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НОТА (Научно-образовательная теологическая ассоциация)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Офис по реализации стратегических проектов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Ассоциация студентов и выпускников РГПУ им. А. И. Герцена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Юридическая служба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Консультационно аналитический отдел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Штаб по делам ГО и ЧС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Учебно-жилой комплекс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Первый отдел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Второй отдел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Медико-оздоровительный центр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главного инженера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Санкт-Петербургская высшая школа перевода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Гостиница и общежитие гостиничного типа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Студенческие общежития</w:t>
      </w:r>
    </w:p>
    <w:p w:rsidR="00730C28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Кафедра ЮНЕСКО</w:t>
      </w:r>
    </w:p>
    <w:p w:rsidR="0045451B" w:rsidRPr="00F07CE0" w:rsidRDefault="0045451B" w:rsidP="0045451B">
      <w:pPr>
        <w:pStyle w:val="a3"/>
        <w:spacing w:line="276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C28" w:rsidRPr="00F07CE0" w:rsidRDefault="00F07CE0" w:rsidP="00F07CE0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b/>
          <w:sz w:val="28"/>
          <w:szCs w:val="28"/>
          <w:lang w:val="ru-RU"/>
        </w:rPr>
        <w:t>Задачи РГПУ им. А. И. Герцена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подготовка высококвалифицированных кадров по образовательным программам высшего образования и среднего профессионального образования в соответствии с потребностями общества и государства, удовлетворение потребностей личности в интеллектуальном, культурном и нравственном развитии;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создание условий для подготовки научными и педагогическими работниками диссертаций на соискание ученых степеней доктора наук, кандидата наук;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реализация дополнительных образовательных программ (дополнительных общеразвивающих программ, дополнительных предпрофессиональных программ, программ повышения квалификации и программ профессиональной переподготовки);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распространение знаний среди специалистов и широких групп населения, повышение его образовательного и культурного уровня;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удовлетворение потребности общества и государства в высококвалифицированных специалистах юридического профиля;</w:t>
      </w:r>
    </w:p>
    <w:p w:rsidR="00730C28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удовлетворение потребностей личности в интеллектуальном, культурном и нравственном развитии посредством образовательной деятельности.</w:t>
      </w:r>
    </w:p>
    <w:p w:rsidR="0045451B" w:rsidRPr="00F07CE0" w:rsidRDefault="0045451B" w:rsidP="0045451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C28" w:rsidRPr="00F07CE0" w:rsidRDefault="00730C28" w:rsidP="00F07CE0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Перспективы </w:t>
      </w:r>
      <w:r w:rsidR="00F07CE0" w:rsidRPr="00F07CE0">
        <w:rPr>
          <w:rFonts w:ascii="Times New Roman" w:hAnsi="Times New Roman" w:cs="Times New Roman"/>
          <w:b/>
          <w:sz w:val="28"/>
          <w:szCs w:val="28"/>
          <w:lang w:val="ru-RU"/>
        </w:rPr>
        <w:t>развития РГПУ им. А. И. Герцена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Модернизация образовательной деятельности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предусматривает: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переход к новым формам его организации и управления образовательными программами в соответствии с профессиональными стандартами Минтруда России;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поддержку и продвижение на российском и мировом рынках образования уникальных (эксклюзивных) направлений подготовки, образовательных программ, определяющих неповторимый облик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университета, повышение их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практикоориентированности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при сохранении высокого уровня фундаментальности;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диверсификацию образовательных программ с приоритетным развитием программ магистратуры и аспирантуры в контексте становления института профессиональных стандартов, которая обеспечит рост конкурентоспособности выпускников на рынке труда и создание потенциала их профессиональной мобильности, переход на ФГОС-3++;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интеграции образования и науки на основе реализации многомерной модели «образование через исследование»;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системы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довузовской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 и профориентации талантливой молодежи, повышение статуса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Герценовских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олимпиад, формирование сети базовых экспериментальных площадок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университета, обеспечивающее привлечение и отбор мотивированных абитуриентов с высоким творческим потенциалом;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новые форматы электронного обучения и дистанционные образовательные 7 технологии, создание электронного образовательного портала университета, позволяющего интегрировать электронные образовательные ресурсы и современные информационные сервисы. </w:t>
      </w:r>
    </w:p>
    <w:p w:rsidR="00730C28" w:rsidRPr="00F07CE0" w:rsidRDefault="00730C28" w:rsidP="00F07C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научной и инновационной деятельности университета предусматривает: </w:t>
      </w:r>
    </w:p>
    <w:p w:rsidR="00730C28" w:rsidRPr="00F07CE0" w:rsidRDefault="00730C28" w:rsidP="00F07CE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реализацию фундаментальных и </w:t>
      </w:r>
      <w:proofErr w:type="gram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прикладных научных исследований</w:t>
      </w:r>
      <w:proofErr w:type="gram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разработок по приоритетным направлениям развития науки и техники в Российской Федерации, междисциплинарных научных исследований, перспективных исследований, направленных на развитие педагогической науки; </w:t>
      </w:r>
    </w:p>
    <w:p w:rsidR="00730C28" w:rsidRPr="00F07CE0" w:rsidRDefault="00730C28" w:rsidP="00F07CE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инфраструктуры научно-исследовательской деятельности; </w:t>
      </w:r>
    </w:p>
    <w:p w:rsidR="00730C28" w:rsidRPr="00F07CE0" w:rsidRDefault="00730C28" w:rsidP="00F07CE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поддержку научно-исследовательской деятельности обучающихся и молодых ученых РГПУ им. А. И. Герцена; </w:t>
      </w:r>
    </w:p>
    <w:p w:rsidR="00730C28" w:rsidRPr="00F07CE0" w:rsidRDefault="00730C28" w:rsidP="00F07CE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публикации и распространения результатов научных исследований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в международном академическом пространстве.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воспитательной среды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предусматривает: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повышение культурно-воспитательного потенциала университета в целях поддержки социально-культурных инициатив, работы с талантливой молодежью;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вовлечение обучающихся, в том числе иностранных студентов, лиц с ограниченными возможностями здоровья в социальную практику, обеспечение поддержки их созидательной инициативы, научной, общественной, творческой и предпринимательской активности;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совершенствование системы студенческого самоуправления, участия обучающихся в управлении жизнедеятельностью университета;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усиление влияния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на развитие воспитательной деятельности в системе непрерывного образования;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выявление и сопровождение талантливой молодежи — школьников, студентов, проявляющих склонность к образовательной и педагогической деятельности и демонстрирующих достижения в этих видах деятельности;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усиление позиций университета в системе всероссийских и межрегиональных мероприятий, способствующих интеллектуальному и творческому развитию учащихся и студентов, формированию у них новых навыков и компетенций.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университета в мировое научно-образовательное пространство предусматривает: 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стратегического партнерства и сетевого взаимодействия с ведущими университетами, научными центрами и организациями Европы, Южной и Северной Америки, 8 Юго-Восточной и Восточной Азии в целях повышения конкурентоспособности университета на международном рынке образовательных услуг и научного сотрудничества;  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комплексной передовой внутриуниверситетской системы предоставления образовательных услуг российским гражданам, гражданам дальнего и ближнего зарубежья, </w:t>
      </w: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строящейся на принципах международного межуниверситетского сотрудничества, использования английского языка как основного в организации ряда образовательных программ, преемственности образовательных маршрутов на всех уровнях обучения; 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комплексной системы образовательного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рекрутинга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в странах ближнего и дальнего зарубежья;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привлечение иностранных специалистов, имеющих опыт работы в ведущих университетах и научных центрах, с использованием международного опыта академического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рекрутмента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экспорта образовательных услуг РГПУ им. А. И. Герцена на русском и английском языках в страны Европы, ближнего зарубежья, Среднего и Ближнего Востока, Азиатско-Тихоокеанского региона.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Развитие социального партнерства предусматривает:</w:t>
      </w:r>
    </w:p>
    <w:p w:rsidR="00730C28" w:rsidRPr="00F07CE0" w:rsidRDefault="00730C28" w:rsidP="00F07C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системы социального партнерства как самостоятельного направления деятельности университета (расширение круга социальных партнеров); </w:t>
      </w:r>
    </w:p>
    <w:p w:rsidR="00730C28" w:rsidRPr="00F07CE0" w:rsidRDefault="00730C28" w:rsidP="00F07C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социально-экономического развития регионов РФ средствами образования, в том числе за счет разработки механизмов повышения практической значимости и экономической эффективности социального партнерства; </w:t>
      </w:r>
    </w:p>
    <w:p w:rsidR="00730C28" w:rsidRPr="00F07CE0" w:rsidRDefault="00730C28" w:rsidP="00F07C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дальнейшее совершенствование взаимодействия организаций в рамках деятельности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университетского образовательного округа; </w:t>
      </w:r>
    </w:p>
    <w:p w:rsidR="00730C28" w:rsidRPr="00F07CE0" w:rsidRDefault="00730C28" w:rsidP="00F07C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создание условий для позиционирования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как ведущего центра в сфере образования и развития человека на протяжении всей его жизни.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Продвижение русского языка за рубежом предусматривает: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активную роль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в эффективном и конкурентоспособном позиционировании образования на русском языке в мире;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многоуровневой университетской системы обеспечения доступности изучения русского языка и получения качественного образования на русском языке;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поддержку и продвижение русского языка за рубежом путем создания специализированных структур (представительств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университета), повышающих интерес к его изучению и обеспечивающих мотивацию его совершенствования; 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научной школы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по изучению специфики овладения русским языком представителями различных этнических сообществ и создание условий упрочнения ее ведущих позиций и авторитета в общероссийском и международном академическом пространстве;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развитие, концептуальное и лингводидактическое оснащение курсов «Родной язык» в Российской Федерации, включая курс родного русского языка;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описание и функционирование родных языков, в том числе разработку параметров и проведение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лонгитюдного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многоаспектного мониторинга качества изучения, описания и лингводидактического сопровождения родных языков коренных народов Российской Федерации, включая родной русский язык;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изучение региональных практик и разработку психолого-педагогических основ адаптации и предметно-языковой интеграции учащихся российских образовательных организаций с целью синтеза действующих региональных моделей обучения родному языку в Российской Федерации и создание адаптационных предметно-интегративных программ для школ разного типа.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Внедрение модели эффективного университета предусматривает: </w:t>
      </w:r>
    </w:p>
    <w:p w:rsidR="00730C28" w:rsidRPr="00F07CE0" w:rsidRDefault="00730C28" w:rsidP="00F07CE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проектного мышления и инновационной активности сотрудников университета через внедрение принципиально новой системы повышения квалификации и переподготовки кадров на основе опережающего обучения новым формам работы в динамично меняющихся условиях высшего образования; </w:t>
      </w:r>
    </w:p>
    <w:p w:rsidR="00730C28" w:rsidRPr="00F07CE0" w:rsidRDefault="00730C28" w:rsidP="00F07CE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системы ресурсных центров, концентрирующих научно-образовательный и инновационный потенциал университета по прорывным направлениям развития отечественного образования и науки; </w:t>
      </w:r>
    </w:p>
    <w:p w:rsidR="00730C28" w:rsidRPr="00F07CE0" w:rsidRDefault="00730C28" w:rsidP="00F07CE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системы адресной поддержки образовательных, научно-исследовательских и практико-ориентированных инициатив сотрудников, определяющих стратегические точки роста университета; </w:t>
      </w:r>
    </w:p>
    <w:p w:rsidR="00730C28" w:rsidRDefault="00730C28" w:rsidP="0045451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построение новой экономической модели университета, учитывающей современные реалии и повышающей инвестиционную привлекательность реализуемых университетом направлений деятельности.</w:t>
      </w:r>
    </w:p>
    <w:p w:rsidR="0045451B" w:rsidRPr="0045451B" w:rsidRDefault="0045451B" w:rsidP="0045451B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C28" w:rsidRPr="00F07CE0" w:rsidRDefault="00730C28" w:rsidP="00F07CE0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b/>
          <w:sz w:val="28"/>
          <w:szCs w:val="28"/>
          <w:lang w:val="ru-RU"/>
        </w:rPr>
        <w:t>Взаимод</w:t>
      </w:r>
      <w:r w:rsidR="00F07CE0" w:rsidRPr="00F07CE0">
        <w:rPr>
          <w:rFonts w:ascii="Times New Roman" w:hAnsi="Times New Roman" w:cs="Times New Roman"/>
          <w:b/>
          <w:sz w:val="28"/>
          <w:szCs w:val="28"/>
          <w:lang w:val="ru-RU"/>
        </w:rPr>
        <w:t>ействие с другими организациями</w:t>
      </w:r>
    </w:p>
    <w:p w:rsidR="00F07CE0" w:rsidRPr="00F07CE0" w:rsidRDefault="00F07CE0" w:rsidP="00F07C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Университет имеет не только договорные отношения с работодателями в сфере образования, но и бизнеса, крупного производства, в социальной сфере, средствах массовой информации, органах власти и управления. В 2011 г. это сотрудничество было значительно расширено. В 2011 г. университетом заключены 80 новых договоров с работодателями о проведении практик и сотрудничестве. Так, например, в 2011 г. факультетом безопасности жизнедеятельности были заключены договоры: с социально-реабилитационными центрами для несовершеннолетних Фрунзенского района и центром «Воспитательный дом»; с Департаментом федеральной службы по </w:t>
      </w: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надзору в сфере природопользования по СЗФО; с федеральным госучреждением «Ленинградский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референтный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центр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россельхознадзор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». Институтом детства заключен договор с Центром реабилитации инвалидов Адмиралтейского и Калининского районов для проведения педагогической практики магистрантов. Юридический факультет заключил договор с Тринадцатым арбитражным апелляционным судом. Факультетом управления в этом году заключены договоры с организациями социальной сферы, в том числе образования, медицины, фармации, культуры, спорта, сферы бизнеса, с банками и пр. В списке организаций-работодателей банк «Русский стандарт», «Северо-Западный Телеком», ОАО «Адмиралтейские верфи», ОАО «Гостиница «Москва», Автономная некоммерческая организация футбольный клуб «Зенит», ОАО «Кировский завод», Петербургская книжная сеть «Буквоед» и др. Важно отметить и роль сотрудничества посредством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научноисследовательской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деятельности кафедр факультетов с профильными вузами и школами. Примером может послужить исследование факультета биологии «Развивающее обучение биологии в общеобразовательной школе» (руководители — Н. Д. Андреева, В. П. Соломин).</w:t>
      </w:r>
    </w:p>
    <w:p w:rsidR="00F07CE0" w:rsidRPr="00F07CE0" w:rsidRDefault="00F07CE0" w:rsidP="00F07C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Сотрудничество факультетов РГПУ им. А. И. Герцена с базами практик строится на основе выверенного методического и организационного взаимодействия. Оно осуществлялось и в процессе прохождения студентами педагогических и производственных практик. Например, студенты юридического факультета проходят практику в Комитете по управлению госимуществом, Санкт-Петербургском городском суде, в Управлении Судебного департамента в Санкт-Петербурге, в Прокуратуре города, прокуратурах Центрального, Кировского, Красногвардейского,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Кронштадского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, Невского, Приморского, Московского, Фрунзенского районов, в областной прокуратуре, в Следственном управлении при ГУВД Санкт-Петербурга, РУВД районов города и области. Большинство из перечисленных структур в дальнейшем трудоустраивают наших выпускников. Буквально на днях получен запрос из Следственного управления на </w:t>
      </w: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трудоустройство группы студентов выпускного курса. Институт народов Севера в 2011 г. акцентировал внимание на заключении договоров о прохождении практик в регионах Севера. Исключительно ценен опыт факультета географии, который на данный момент сотрудничает с 24 государственными общеобразовательными учреждениями в сфере педагогических практик. Факультетом заключен стратегический договор с Институтом озероведения, ВНИИ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Океангеологии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, ВСЕГЕИ. Преподавателями Д. А.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Гдалиным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>, Г. Н. Андреевым, профессором Е. М. Нестеровым организованы и проведены практики в Калининграде, Челябинске, Туапсе, в Крыму, в Финляндии, Швеции, Дании, Норвегии. Отмеченные факты подтверждают, что складывается эффективная система социального партнерства.</w:t>
      </w:r>
    </w:p>
    <w:p w:rsidR="00F07CE0" w:rsidRPr="00F07CE0" w:rsidRDefault="00F07CE0" w:rsidP="00F07C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Также, сегодня университет поддерживает договорные отношения и с 60 зарубежными университетами и различными образовательными учреждениями США, Англии, Австрии, Италии, Франции, Швейцарии, Германии, Нидерландов, Польши, Швеции, Финляндии, Китая, Кореи, Израиля, Японии и других стран.</w:t>
      </w:r>
    </w:p>
    <w:p w:rsidR="00730C28" w:rsidRPr="00F07CE0" w:rsidRDefault="00730C28" w:rsidP="00730C2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5451B" w:rsidRPr="00F07CE0" w:rsidRDefault="0045451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5451B" w:rsidRPr="00F0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066"/>
    <w:multiLevelType w:val="hybridMultilevel"/>
    <w:tmpl w:val="CFA8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E496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01DF"/>
    <w:multiLevelType w:val="hybridMultilevel"/>
    <w:tmpl w:val="09BE2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B4671"/>
    <w:multiLevelType w:val="hybridMultilevel"/>
    <w:tmpl w:val="35740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91B06"/>
    <w:multiLevelType w:val="hybridMultilevel"/>
    <w:tmpl w:val="D08880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453189"/>
    <w:multiLevelType w:val="hybridMultilevel"/>
    <w:tmpl w:val="FF70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B6336"/>
    <w:multiLevelType w:val="hybridMultilevel"/>
    <w:tmpl w:val="92A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E496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74380"/>
    <w:multiLevelType w:val="hybridMultilevel"/>
    <w:tmpl w:val="9FA2A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7A5810"/>
    <w:multiLevelType w:val="hybridMultilevel"/>
    <w:tmpl w:val="67FE1A98"/>
    <w:lvl w:ilvl="0" w:tplc="91ACE496">
      <w:start w:val="1"/>
      <w:numFmt w:val="decimal"/>
      <w:lvlText w:val="%1)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E35529"/>
    <w:multiLevelType w:val="hybridMultilevel"/>
    <w:tmpl w:val="9CCA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E496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254FF"/>
    <w:multiLevelType w:val="hybridMultilevel"/>
    <w:tmpl w:val="311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A6573"/>
    <w:multiLevelType w:val="hybridMultilevel"/>
    <w:tmpl w:val="85B01F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E839A2"/>
    <w:multiLevelType w:val="hybridMultilevel"/>
    <w:tmpl w:val="8BF604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23426"/>
    <w:multiLevelType w:val="hybridMultilevel"/>
    <w:tmpl w:val="8C3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E496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1767A"/>
    <w:multiLevelType w:val="hybridMultilevel"/>
    <w:tmpl w:val="F7F2B0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A175E1"/>
    <w:multiLevelType w:val="hybridMultilevel"/>
    <w:tmpl w:val="3A16A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ED687C"/>
    <w:multiLevelType w:val="hybridMultilevel"/>
    <w:tmpl w:val="7498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B3"/>
    <w:rsid w:val="001543B3"/>
    <w:rsid w:val="0045451B"/>
    <w:rsid w:val="00556FA6"/>
    <w:rsid w:val="00730C28"/>
    <w:rsid w:val="00DD6AB1"/>
    <w:rsid w:val="00F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865E"/>
  <w15:chartTrackingRefBased/>
  <w15:docId w15:val="{C3D0FC43-D43C-4319-A493-AC19DF21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C28"/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73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3</cp:revision>
  <dcterms:created xsi:type="dcterms:W3CDTF">2020-12-23T16:03:00Z</dcterms:created>
  <dcterms:modified xsi:type="dcterms:W3CDTF">2020-12-23T16:28:00Z</dcterms:modified>
</cp:coreProperties>
</file>