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1B" w:rsidRPr="0045451B" w:rsidRDefault="0045451B" w:rsidP="0045451B">
      <w:pPr>
        <w:jc w:val="both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  <w:r w:rsidRPr="0045451B">
        <w:rPr>
          <w:rFonts w:ascii="Times New Roman" w:eastAsiaTheme="minorHAnsi" w:hAnsi="Times New Roman" w:cs="Times New Roman"/>
          <w:b/>
          <w:color w:val="000000"/>
          <w:sz w:val="28"/>
          <w:szCs w:val="24"/>
          <w:lang w:val="ru-RU" w:eastAsia="ru-RU"/>
        </w:rPr>
        <w:t xml:space="preserve">Задание 1.1. </w:t>
      </w:r>
      <w:r w:rsidRPr="0045451B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ru-RU" w:eastAsia="ru-RU"/>
        </w:rPr>
        <w:t xml:space="preserve"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</w:r>
    </w:p>
    <w:p w:rsidR="0045451B" w:rsidRDefault="0045451B" w:rsidP="00730C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C28" w:rsidRPr="00F07CE0" w:rsidRDefault="00730C28" w:rsidP="00730C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>Структура РГПУ им. А. И. Герцена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Факультеты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Безопасности жизнедеятельности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Биологии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Географии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Изобразительного искусства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Математики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Русского языка как иностранного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Физики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Филологический</w:t>
      </w:r>
    </w:p>
    <w:p w:rsid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Химии</w:t>
      </w:r>
    </w:p>
    <w:p w:rsidR="00730C28" w:rsidRPr="00F07CE0" w:rsidRDefault="00730C28" w:rsidP="00F07CE0">
      <w:pPr>
        <w:pStyle w:val="a3"/>
        <w:numPr>
          <w:ilvl w:val="0"/>
          <w:numId w:val="5"/>
        </w:numPr>
        <w:spacing w:line="276" w:lineRule="auto"/>
        <w:ind w:left="1418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Юридический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Институты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музыки, театра и хореографии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иностранных языков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истории и социальных наук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востоковедения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экономики и управления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физической культуры и спорта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психологии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педагогики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народов Севера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дефектологического образования и реабилитации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 и технологического образования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философии человека</w:t>
      </w:r>
    </w:p>
    <w:p w:rsidR="00730C28" w:rsidRPr="00F07CE0" w:rsidRDefault="00730C28" w:rsidP="00F07CE0">
      <w:pPr>
        <w:pStyle w:val="a3"/>
        <w:numPr>
          <w:ilvl w:val="1"/>
          <w:numId w:val="6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Институт детства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Филиалы</w:t>
      </w:r>
    </w:p>
    <w:p w:rsidR="00730C28" w:rsidRPr="00F07CE0" w:rsidRDefault="00730C28" w:rsidP="00F07CE0">
      <w:pPr>
        <w:pStyle w:val="a3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Выборгский</w:t>
      </w:r>
    </w:p>
    <w:p w:rsidR="00730C28" w:rsidRPr="00F07CE0" w:rsidRDefault="00730C28" w:rsidP="00F07CE0">
      <w:pPr>
        <w:pStyle w:val="a3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Дагестанский</w:t>
      </w:r>
    </w:p>
    <w:p w:rsidR="00730C28" w:rsidRPr="00F07CE0" w:rsidRDefault="00730C28" w:rsidP="00F07CE0">
      <w:pPr>
        <w:pStyle w:val="a3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Волховский</w:t>
      </w:r>
      <w:proofErr w:type="spellEnd"/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Центры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УМЛ «Музыкально-компьютерные технологии»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Центр тестирования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 по работе с талантливой молодежью и абитуриентами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Психологическая служба сопровождения студентов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 духовно-нравственного просвещения «Покровский»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Ресурсный учебно-методический центр по обучению инвалидов и лиц с ограниченными возможностями здоровья</w:t>
      </w:r>
    </w:p>
    <w:p w:rsidR="00730C28" w:rsidRPr="00F07CE0" w:rsidRDefault="00730C28" w:rsidP="00F07CE0">
      <w:pPr>
        <w:pStyle w:val="a3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Центр содействия трудоустройству выпускников «Мост»</w:t>
      </w:r>
    </w:p>
    <w:p w:rsidR="00730C28" w:rsidRPr="00F07CE0" w:rsidRDefault="00730C28" w:rsidP="00F07CE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Другие подразделения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Учебно-методическое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бухгалтерского учета и финансового контроля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Учебное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закупок и продаж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информатизации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по связям с общественностью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дополнительного образования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кадров и социальной работы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ремонта, модернизации и перспективного развития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международного сотрудничества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обеспечения сотрудничества с образовательными организациями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научных исследований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по обеспечению управлением имущественным комплексом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охраны и пожарной безопасности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Планово-финансовое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организации диссертационных исследований и аттестации кадров высшей квалификации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развитием воспитательной деятельности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развития педагогического образования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социально-бытового обеспечения и обслуживания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баз практик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Этический комитет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Педагогические вести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Музей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Отдел ученого секретаря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Отдел аспирантуры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Канцелярия (Организационно-контрольное управление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Отдел по работе с выпускниками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>Русская роговая капелла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НОТА (Научно-образовательная теологическая ассоциация)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Офис по реализации стратегических проектов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Ассоциация студентов и выпускников РГПУ им. А. И. Герцена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Юридическая служба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Консультационно аналитический отдел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Штаб по делам ГО и ЧС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Учебно-жилой комплекс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Первый отдел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Второй отдел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Медико-оздоровительный центр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Управление главного инженера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Санкт-Петербургская высшая школа перевода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Гостиница и общежитие гостиничного типа</w:t>
      </w:r>
    </w:p>
    <w:p w:rsidR="00730C28" w:rsidRPr="00F07CE0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Студенческие общежития</w:t>
      </w:r>
    </w:p>
    <w:p w:rsidR="00730C28" w:rsidRDefault="00730C28" w:rsidP="00F07CE0">
      <w:pPr>
        <w:pStyle w:val="a3"/>
        <w:numPr>
          <w:ilvl w:val="1"/>
          <w:numId w:val="9"/>
        </w:numPr>
        <w:spacing w:line="276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Кафедра ЮНЕСКО</w:t>
      </w:r>
    </w:p>
    <w:p w:rsidR="0045451B" w:rsidRPr="00F07CE0" w:rsidRDefault="0045451B" w:rsidP="0045451B">
      <w:pPr>
        <w:pStyle w:val="a3"/>
        <w:spacing w:line="276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F07CE0" w:rsidP="00F07CE0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>Задачи РГПУ им. А. И. Герцена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подготовка высококвалифицированных кадров по образовательным программам высшего образования и среднего профессионального образования в соответствии с потребностями общества и государства, удовлетворение потребностей личности в интеллектуальном, культурном и нравственном развитии;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создание условий для подготовки научными и педагогическими работниками диссертаций на соискание ученых степеней доктора наук, кандидата наук;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реализация дополнительных образовательных программ (дополнительных общеразвивающих программ, дополнительных предпрофессиональных программ, программ повышения квалификации и программ профессиональной переподготовки);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распространение знаний среди специалистов и широких групп населения, повышение его образовательного и культурного уровня;</w:t>
      </w:r>
    </w:p>
    <w:p w:rsidR="00730C28" w:rsidRPr="00F07CE0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удовлетворение потребности общества и государства в высококвалифицированных специалистах юридического профиля;</w:t>
      </w:r>
    </w:p>
    <w:p w:rsidR="00730C28" w:rsidRDefault="00730C28" w:rsidP="00F07CE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удовлетворение потребностей личности в интеллектуальном, культурном и нравственном развитии посредством образовательной деятельности.</w:t>
      </w:r>
    </w:p>
    <w:p w:rsidR="0045451B" w:rsidRPr="00F07CE0" w:rsidRDefault="0045451B" w:rsidP="00454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730C28" w:rsidP="00F07CE0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Перспективы </w:t>
      </w:r>
      <w:r w:rsidR="00F07CE0" w:rsidRPr="00F07CE0">
        <w:rPr>
          <w:rFonts w:ascii="Times New Roman" w:hAnsi="Times New Roman" w:cs="Times New Roman"/>
          <w:b/>
          <w:sz w:val="28"/>
          <w:szCs w:val="28"/>
          <w:lang w:val="ru-RU"/>
        </w:rPr>
        <w:t>развития РГПУ им. А. И. Герцена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Модернизация образовательной деятельности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переход к новым формам его организации и управления образовательными программами в соответствии с профессиональными стандартами Минтруда России;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поддержку и продвижение на российском и мировом рынках образования уникальных (эксклюзивных) направлений подготовки, образовательных программ, определяющих неповторимый облик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университета, повышение их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практикоориентированности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при сохранении высокого уровня фундаментальности;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диверсификацию образовательных программ с приоритетным развитием программ магистратуры и аспирантуры в контексте становления института профессиональных стандартов, которая обеспечит рост конкурентоспособности выпускников на рынке труда и создание потенциала их профессиональной мобильности, переход на ФГОС-3++;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интеграции образования и науки на основе реализации многомерной модели «образование через исследование»;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системы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довузовской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 и профориентации талантливой молодежи, повышение статуса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Герценовских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олимпиад, формирование сети базовых экспериментальных площадок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университета, обеспечивающее привлечение и отбор мотивированных абитуриентов с высоким творческим потенциалом; </w:t>
      </w:r>
    </w:p>
    <w:p w:rsidR="00730C28" w:rsidRPr="00F07CE0" w:rsidRDefault="00730C28" w:rsidP="00F07CE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новые форматы электронного обучения и дистанционные образовательные 7 технологии, создание электронного образовательного портала университета, позволяющего интегрировать электронные образовательные ресурсы и современные информационные сервисы. </w:t>
      </w:r>
    </w:p>
    <w:p w:rsidR="00730C28" w:rsidRPr="00F07CE0" w:rsidRDefault="00730C28" w:rsidP="00F07CE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научной и инновационной деятельности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реализацию фундаментальных и </w:t>
      </w:r>
      <w:proofErr w:type="gram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прикладных научных исследований</w:t>
      </w:r>
      <w:proofErr w:type="gram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разработок по приоритетным направлениям развития науки и техники в Российской Федерации, междисциплинарных научных исследований, перспективных исследований, направленных на развитие педагогической науки;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инфраструктуры научно-исследовательской деятельности;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поддержку научно-исследовательской деятельности обучающихся и молодых ученых РГПУ им. А. И. Герцена; </w:t>
      </w:r>
    </w:p>
    <w:p w:rsidR="00730C28" w:rsidRPr="00F07CE0" w:rsidRDefault="00730C28" w:rsidP="00F07CE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 публикации и распространения результатов научных исследований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в международном академическом пространстве.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воспитательной среды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повышение культурно-воспитательного потенциала университета в целях поддержки социально-культурных инициатив, работы с талантливой молодежью;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вовлечение обучающихся, в том числе иностранных студентов, лиц с ограниченными возможностями здоровья в социальную практику, обеспечение поддержки их созидательной инициативы, научной, общественной, творческой и предпринимательской активности;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совершенствование системы студенческого самоуправления, участия обучающихся в управлении жизнедеятельностью университета;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усиление влияния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на развитие воспитательной деятельности в системе непрерывного образования;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выявление и сопровождение талантливой молодежи — школьников, студентов, проявляющих склонность к образовательной и педагогической деятельности и демонстрирующих достижения в этих видах деятельности; </w:t>
      </w:r>
    </w:p>
    <w:p w:rsidR="00730C28" w:rsidRPr="00F07CE0" w:rsidRDefault="00730C28" w:rsidP="00F07CE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усиление позиций университета в системе всероссийских и межрегиональных мероприятий, способствующих интеллектуальному и творческому развитию учащихся и студентов, формированию у них новых навыков и компетенций.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университета в мировое научно-образовательное пространство предусматривает: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стратегического партнерства и сетевого взаимодействия с ведущими университетами, научными центрами и организациями Европы, Южной и Северной Америки, 8 Юго-Восточной и Восточной Азии в целях повышения конкурентоспособности университета на международном рынке образовательных услуг и научного сотрудничества; 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комплексной передовой внутриуниверситетской системы предоставления образовательных услуг российским гражданам, гражданам дальнего и ближнего зарубежья, </w:t>
      </w: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строящейся на принципах международного межуниверситетского сотрудничества, использования английского языка как основного в организации ряда образовательных программ, преемственности образовательных маршрутов на всех уровнях обучения;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комплексной системы образовательного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рекрутинга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в странах ближнего и дальнего зарубежья;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привлечение иностранных специалистов, имеющих опыт работы в ведущих университетах и научных центрах, с использованием международного опыта академического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рекрутмента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730C28" w:rsidRPr="00F07CE0" w:rsidRDefault="00730C28" w:rsidP="00F07CE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расширение экспорта образовательных услуг РГПУ им. А. И. Герцена на русском и английском языках в страны Европы, ближнего зарубежья, Среднего и Ближнего Востока, Азиатско-Тихоокеанского региона.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Развитие социального партнерства предусматривает: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системы социального партнерства как самостоятельного направления деятельности университета (расширение круга социальных партнеров); 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социально-экономического развития регионов РФ средствами образования, в том числе за счет разработки механизмов повышения практической значимости и экономической эффективности социального партнерства; 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дальнейшее совершенствование взаимодействия организаций в рамках деятельности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университетского образовательного округа; </w:t>
      </w:r>
    </w:p>
    <w:p w:rsidR="00730C28" w:rsidRPr="00F07CE0" w:rsidRDefault="00730C28" w:rsidP="00F07CE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создание условий для позиционирования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как ведущего центра в сфере образования и развития человека на протяжении всей его жизни.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Продвижение русского языка за рубежом предусматривает: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активную роль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в эффективном и конкурентоспособном позиционировании образования на русском языке в мире;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многоуровневой университетской системы обеспечения доступности изучения русского языка и получения качественного образования на русском языке;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поддержку и продвижение русского языка за рубежом путем создания специализированных структур (представительств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университета), повышающих интерес к его изучению и обеспечивающих мотивацию его совершенствования; 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научной школы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Герценовского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университета по изучению специфики овладения русским языком представителями различных этнических сообществ и создание условий упрочнения ее ведущих позиций и авторитета в общероссийском и международном академическом пространстве;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развитие, концептуальное и лингводидактическое оснащение курсов «Родной язык» в Российской Федерации, включая курс родного русского языка;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описание и функционирование родных языков, в том числе разработку параметров и проведение </w:t>
      </w:r>
      <w:proofErr w:type="spellStart"/>
      <w:r w:rsidRPr="00F07CE0">
        <w:rPr>
          <w:rFonts w:ascii="Times New Roman" w:hAnsi="Times New Roman" w:cs="Times New Roman"/>
          <w:sz w:val="28"/>
          <w:szCs w:val="28"/>
          <w:lang w:val="ru-RU"/>
        </w:rPr>
        <w:t>лонгитюдного</w:t>
      </w:r>
      <w:proofErr w:type="spellEnd"/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 многоаспектного мониторинга качества изучения, описания и лингводидактического сопровождения родных языков коренных народов Российской Федерации, включая родной русский язык; </w:t>
      </w:r>
    </w:p>
    <w:p w:rsidR="00730C28" w:rsidRPr="00F07CE0" w:rsidRDefault="00730C28" w:rsidP="00F07CE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изучение региональных практик и разработку психолого-педагогических основ адаптации и предметно-языковой интеграции учащихся российских образовательных организаций с целью синтеза действующих региональных моделей обучения родному языку в Российской Федерации и создание адаптационных предметно-интегративных программ для школ разного типа. </w:t>
      </w:r>
    </w:p>
    <w:p w:rsidR="00730C28" w:rsidRPr="00F07CE0" w:rsidRDefault="00730C28" w:rsidP="00F07CE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Внедрение модели эффективного университета предусматривает: </w:t>
      </w:r>
    </w:p>
    <w:p w:rsidR="00730C28" w:rsidRPr="00F07CE0" w:rsidRDefault="00730C28" w:rsidP="00F07CE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проектного мышления и инновационной активности сотрудников университета через внедрение принципиально новой системы повышения квалификации и переподготовки кадров на основе опережающего обучения новым формам работы в динамично меняющихся условиях высшего образования; </w:t>
      </w:r>
    </w:p>
    <w:p w:rsidR="00730C28" w:rsidRPr="00F07CE0" w:rsidRDefault="00730C28" w:rsidP="00F07CE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системы ресурсных центров, концентрирующих научно-образовательный и инновационный потенциал университета по прорывным направлениям развития отечественного образования и науки; </w:t>
      </w:r>
    </w:p>
    <w:p w:rsidR="00730C28" w:rsidRPr="00F07CE0" w:rsidRDefault="00730C28" w:rsidP="00F07CE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 xml:space="preserve">развитие системы адресной поддержки образовательных, научно-исследовательских и практико-ориентированных инициатив сотрудников, определяющих стратегические точки роста университета; </w:t>
      </w:r>
    </w:p>
    <w:p w:rsidR="00730C28" w:rsidRDefault="00730C28" w:rsidP="0045451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sz w:val="28"/>
          <w:szCs w:val="28"/>
          <w:lang w:val="ru-RU"/>
        </w:rPr>
        <w:t>построение новой экономической модели университета, учитывающей современные реалии и повышающей инвестиционную привлекательность реализуемых университетом направлений деятельности.</w:t>
      </w:r>
    </w:p>
    <w:p w:rsidR="0045451B" w:rsidRPr="0045451B" w:rsidRDefault="0045451B" w:rsidP="0045451B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C28" w:rsidRPr="00F07CE0" w:rsidRDefault="00730C28" w:rsidP="00F07CE0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7CE0">
        <w:rPr>
          <w:rFonts w:ascii="Times New Roman" w:hAnsi="Times New Roman" w:cs="Times New Roman"/>
          <w:b/>
          <w:sz w:val="28"/>
          <w:szCs w:val="28"/>
          <w:lang w:val="ru-RU"/>
        </w:rPr>
        <w:t>Взаимод</w:t>
      </w:r>
      <w:r w:rsidR="00F07CE0" w:rsidRPr="00F07CE0">
        <w:rPr>
          <w:rFonts w:ascii="Times New Roman" w:hAnsi="Times New Roman" w:cs="Times New Roman"/>
          <w:b/>
          <w:sz w:val="28"/>
          <w:szCs w:val="28"/>
          <w:lang w:val="ru-RU"/>
        </w:rPr>
        <w:t>ействие с другими организациями</w:t>
      </w:r>
    </w:p>
    <w:p w:rsidR="00730C28" w:rsidRPr="00A20143" w:rsidRDefault="00A20143" w:rsidP="00A2014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 xml:space="preserve">СПИИ РАН, Северо-Восточного федерального университета им. М.К. </w:t>
      </w:r>
      <w:proofErr w:type="spellStart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Аммосова</w:t>
      </w:r>
      <w:proofErr w:type="spellEnd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, Государственный университет морского и речного флота им. адмирала С.</w:t>
      </w:r>
      <w:bookmarkStart w:id="0" w:name="_GoBack"/>
      <w:bookmarkEnd w:id="0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О. Макарова, БГА РФ, Московский автомобильно-дорожный государственный технический университет, Алтайская государственная педагогическая академия, Дальневосточный федеральный университет, Санкт-Петербургский центр оценки качества образования и информационных технологий, НОУДДОД «Учебный центр «</w:t>
      </w:r>
      <w:proofErr w:type="spellStart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КОМПЬЮТЕРиЯ</w:t>
      </w:r>
      <w:proofErr w:type="spellEnd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 xml:space="preserve">».СПИИ РАН, Северо-Восточного федерального университета им. М.К. </w:t>
      </w:r>
      <w:proofErr w:type="spellStart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Аммосова</w:t>
      </w:r>
      <w:proofErr w:type="spellEnd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 xml:space="preserve">, Государственный университет морского и речного флота им. адмирала С.О. </w:t>
      </w:r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lastRenderedPageBreak/>
        <w:t>Макарова, БГА РФ, Московский автомобильно-дорожный государственный технический университет, Алтайская государственная педагогическая академия, Дальневосточный федеральный университет, Санкт-Петербургский центр оценки качества образования и информационных технологий, НОУДДОД «Учебный центр «</w:t>
      </w:r>
      <w:proofErr w:type="spellStart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КОМПЬЮТЕРиЯ</w:t>
      </w:r>
      <w:proofErr w:type="spellEnd"/>
      <w:r w:rsidRPr="00A20143">
        <w:rPr>
          <w:rFonts w:ascii="Times New Roman" w:hAnsi="Times New Roman" w:cs="Times New Roman"/>
          <w:color w:val="212529"/>
          <w:sz w:val="28"/>
          <w:shd w:val="clear" w:color="auto" w:fill="FFFFFF"/>
          <w:lang w:val="ru-RU"/>
        </w:rPr>
        <w:t>».</w:t>
      </w:r>
    </w:p>
    <w:p w:rsidR="0045451B" w:rsidRPr="00F07CE0" w:rsidRDefault="0045451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5451B" w:rsidRPr="00F0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066"/>
    <w:multiLevelType w:val="hybridMultilevel"/>
    <w:tmpl w:val="CFA8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01DF"/>
    <w:multiLevelType w:val="hybridMultilevel"/>
    <w:tmpl w:val="09BE2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B4671"/>
    <w:multiLevelType w:val="hybridMultilevel"/>
    <w:tmpl w:val="35740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D91B06"/>
    <w:multiLevelType w:val="hybridMultilevel"/>
    <w:tmpl w:val="D088801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453189"/>
    <w:multiLevelType w:val="hybridMultilevel"/>
    <w:tmpl w:val="FF70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B6336"/>
    <w:multiLevelType w:val="hybridMultilevel"/>
    <w:tmpl w:val="92A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74380"/>
    <w:multiLevelType w:val="hybridMultilevel"/>
    <w:tmpl w:val="9FA2A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7A5810"/>
    <w:multiLevelType w:val="hybridMultilevel"/>
    <w:tmpl w:val="67FE1A98"/>
    <w:lvl w:ilvl="0" w:tplc="91ACE496">
      <w:start w:val="1"/>
      <w:numFmt w:val="decimal"/>
      <w:lvlText w:val="%1)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E35529"/>
    <w:multiLevelType w:val="hybridMultilevel"/>
    <w:tmpl w:val="9CCA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254FF"/>
    <w:multiLevelType w:val="hybridMultilevel"/>
    <w:tmpl w:val="311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A6573"/>
    <w:multiLevelType w:val="hybridMultilevel"/>
    <w:tmpl w:val="85B01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E839A2"/>
    <w:multiLevelType w:val="hybridMultilevel"/>
    <w:tmpl w:val="8BF604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23426"/>
    <w:multiLevelType w:val="hybridMultilevel"/>
    <w:tmpl w:val="8C3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E496">
      <w:start w:val="1"/>
      <w:numFmt w:val="decimal"/>
      <w:lvlText w:val="%2)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1767A"/>
    <w:multiLevelType w:val="hybridMultilevel"/>
    <w:tmpl w:val="F7F2B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A175E1"/>
    <w:multiLevelType w:val="hybridMultilevel"/>
    <w:tmpl w:val="3A16A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ED687C"/>
    <w:multiLevelType w:val="hybridMultilevel"/>
    <w:tmpl w:val="749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9"/>
  </w:num>
  <w:num w:numId="4">
    <w:abstractNumId w:val="3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B3"/>
    <w:rsid w:val="001543B3"/>
    <w:rsid w:val="0045451B"/>
    <w:rsid w:val="00556FA6"/>
    <w:rsid w:val="00730C28"/>
    <w:rsid w:val="00A20143"/>
    <w:rsid w:val="00DD6AB1"/>
    <w:rsid w:val="00F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0FC43-D43C-4319-A493-AC19DF21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C28"/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3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4</cp:revision>
  <dcterms:created xsi:type="dcterms:W3CDTF">2020-12-23T16:03:00Z</dcterms:created>
  <dcterms:modified xsi:type="dcterms:W3CDTF">2020-12-24T10:28:00Z</dcterms:modified>
</cp:coreProperties>
</file>