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22675B"/>
          <w:sz w:val="34"/>
        </w:rPr>
        <w:t>ПАСПОРТ</w:t>
        <w:br/>
        <w:t>РЕГИОНАЛЬНОГО ПРОЕКТА</w:t>
      </w:r>
    </w:p>
    <w:p>
      <w:pPr>
        <w:spacing w:before="560"/>
        <w:jc w:val="center"/>
      </w:pPr>
      <w:r>
        <w:rPr>
          <w:rFonts w:ascii="Georgia" w:hAnsi="Georgia"/>
          <w:b/>
          <w:color w:val="174B43"/>
          <w:sz w:val="60"/>
        </w:rPr>
        <w:t>«БЮРОНЕТ СПО»</w:t>
      </w:r>
    </w:p>
    <w:p>
      <w:pPr>
        <w:spacing w:before="160"/>
        <w:jc w:val="center"/>
      </w:pPr>
      <w:r>
        <w:t>Региональный цифровой агент по снижению</w:t>
        <w:br/>
        <w:t>бюрократической нагрузки в профессиональных</w:t>
        <w:br/>
        <w:t>образовательных организациях</w:t>
      </w:r>
    </w:p>
    <w:p>
      <w:pPr>
        <w:spacing w:before="2500"/>
        <w:jc w:val="center"/>
      </w:pPr>
      <w:r>
        <w:rPr>
          <w:color w:val="6D7D79"/>
        </w:rPr>
        <w:t>Луганская Народная Республика</w:t>
        <w:br/>
        <w:t>2026</w:t>
      </w:r>
    </w:p>
    <w:p>
      <w:pPr>
        <w:sectPr>
          <w:footerReference w:type="default" r:id="rId9"/>
          <w:pgSz w:w="12240" w:h="15840"/>
          <w:pgMar w:top="907" w:right="907" w:bottom="850" w:left="1134" w:header="720" w:footer="720" w:gutter="0"/>
          <w:cols w:space="720"/>
          <w:docGrid w:linePitch="360"/>
        </w:sectPr>
      </w:pPr>
    </w:p>
    <w:p>
      <w:pPr>
        <w:pStyle w:val="Heading1"/>
        <w:spacing w:before="200" w:after="100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494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2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Полное наименование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Региональный цифровой агент по снижению бюрократической нагрузки в профессиональных образовательных организациях</w:t>
            </w:r>
          </w:p>
        </w:tc>
      </w:tr>
      <w:tr>
        <w:tc>
          <w:tcPr>
            <w:tcW w:type="dxa" w:w="2494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Рабочее название</w:t>
            </w:r>
          </w:p>
        </w:tc>
        <w:tc>
          <w:tcPr>
            <w:tcW w:type="dxa" w:w="72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«БюроНет СПО»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Тип проекта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Региональный цифровой организационно-управленческий проект</w:t>
            </w:r>
          </w:p>
        </w:tc>
      </w:tr>
      <w:tr>
        <w:tc>
          <w:tcPr>
            <w:tcW w:type="dxa" w:w="2494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Инициатор и заказчик</w:t>
            </w:r>
          </w:p>
        </w:tc>
        <w:tc>
          <w:tcPr>
            <w:tcW w:type="dxa" w:w="72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Министерство образования и науки Луганской Народной Республики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Оператор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Региональный координационный центр СПО, определяемый заказчиком</w:t>
            </w:r>
          </w:p>
        </w:tc>
      </w:tr>
      <w:tr>
        <w:tc>
          <w:tcPr>
            <w:tcW w:type="dxa" w:w="2494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Участники</w:t>
            </w:r>
          </w:p>
        </w:tc>
        <w:tc>
          <w:tcPr>
            <w:tcW w:type="dxa" w:w="72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ПОО, структурные подразделения Министерства, владельцы региональных информационных систем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География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Луганская Народная Республика</w:t>
            </w:r>
          </w:p>
        </w:tc>
      </w:tr>
      <w:tr>
        <w:tc>
          <w:tcPr>
            <w:tcW w:type="dxa" w:w="2494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Срок реализации</w:t>
            </w:r>
          </w:p>
        </w:tc>
        <w:tc>
          <w:tcPr>
            <w:tcW w:type="dxa" w:w="72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12 месяцев до промышленного запуска с последующим постоянным развитием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Продукт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Защищенная платформа с агентом-помощником, единым реестром запросов и аналитикой нагрузки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2. Актуальность и проблема</w:t>
      </w:r>
    </w:p>
    <w:p>
      <w:pPr>
        <w:spacing w:after="100"/>
      </w:pPr>
      <w:r>
        <w:t>Сотрудники ПОО регулярно получают запросы от разных подразделений и организаций. Одни и те же сведения повторно собираются в таблицах, письмах и формах. Значительная часть времени уходит на поиск актуальной версии, перенос данных, сверку форматов и подготовку сопроводительных документов.</w:t>
      </w:r>
    </w:p>
    <w:p>
      <w:pPr>
        <w:spacing w:after="100"/>
      </w:pPr>
      <w:r>
        <w:t>Отсутствует единый управляемый процесс регистрации, проверки и исполнения информационных запросов. Это приводит к повторному вводу, несогласованным срокам, риску расхождений и сокращению времени на основную образовательную деятельность.</w:t>
      </w:r>
    </w:p>
    <w:p>
      <w:pPr>
        <w:pStyle w:val="Heading1"/>
        <w:spacing w:before="200" w:after="100"/>
      </w:pPr>
      <w:r>
        <w:t>3. Цель проекта</w:t>
      </w:r>
    </w:p>
    <w:p>
      <w:pPr>
        <w:spacing w:after="140"/>
        <w:ind w:left="283" w:right="283"/>
      </w:pPr>
      <w:r>
        <w:rPr>
          <w:b/>
          <w:color w:val="174B43"/>
        </w:rPr>
        <w:t>К концу первого года сократить не менее чем на 40% среднее время подготовки типового ответа ПОО и не менее чем на 25% количество повторных запросов за счет единого реестра, повторного использования проверенных данных и безопасной подготовки проектов документов цифровым агентом.</w:t>
      </w:r>
    </w:p>
    <w:p>
      <w:pPr>
        <w:pStyle w:val="Heading1"/>
        <w:spacing w:before="200" w:after="100"/>
      </w:pPr>
      <w:r>
        <w:t>4. Задачи</w:t>
      </w:r>
    </w:p>
    <w:p>
      <w:pPr>
        <w:pStyle w:val="ListNumber"/>
        <w:spacing w:after="40"/>
      </w:pPr>
      <w:r>
        <w:t>Провести инвентаризацию обязательной и инициативной отчетности ПОО.</w:t>
      </w:r>
    </w:p>
    <w:p>
      <w:pPr>
        <w:pStyle w:val="ListNumber"/>
        <w:spacing w:after="40"/>
      </w:pPr>
      <w:r>
        <w:t>Создать единый реестр запросов, сроков, оснований и ответственных.</w:t>
      </w:r>
    </w:p>
    <w:p>
      <w:pPr>
        <w:pStyle w:val="ListNumber"/>
        <w:spacing w:after="40"/>
      </w:pPr>
      <w:r>
        <w:t>Ввести паспорт показателя: определение, единицу, период, источник и владельца.</w:t>
      </w:r>
    </w:p>
    <w:p>
      <w:pPr>
        <w:pStyle w:val="ListNumber"/>
        <w:spacing w:after="40"/>
      </w:pPr>
      <w:r>
        <w:t>Настроить поиск полных и смысловых дублей.</w:t>
      </w:r>
    </w:p>
    <w:p>
      <w:pPr>
        <w:pStyle w:val="ListNumber"/>
        <w:spacing w:after="40"/>
      </w:pPr>
      <w:r>
        <w:t>Подключить доверенные источники и исключить повторный ручной ввод.</w:t>
      </w:r>
    </w:p>
    <w:p>
      <w:pPr>
        <w:pStyle w:val="ListNumber"/>
        <w:spacing w:after="40"/>
      </w:pPr>
      <w:r>
        <w:t>Автоматизировать подготовку проектов писем, таблиц и аналитических записок.</w:t>
      </w:r>
    </w:p>
    <w:p>
      <w:pPr>
        <w:pStyle w:val="ListNumber"/>
        <w:spacing w:after="40"/>
      </w:pPr>
      <w:r>
        <w:t>Обеспечить обязательную проверку результата человеком.</w:t>
      </w:r>
    </w:p>
    <w:p>
      <w:pPr>
        <w:pStyle w:val="ListNumber"/>
        <w:spacing w:after="40"/>
      </w:pPr>
      <w:r>
        <w:t>Сформировать аналитику нагрузки и реестр решений по ее снижению.</w:t>
      </w:r>
    </w:p>
    <w:p>
      <w:pPr>
        <w:pStyle w:val="Heading1"/>
        <w:spacing w:before="200" w:after="100"/>
      </w:pPr>
      <w:r>
        <w:t>5. Продукт проекта</w:t>
      </w:r>
    </w:p>
    <w:p>
      <w:pPr>
        <w:pStyle w:val="ListBullet"/>
        <w:spacing w:after="40"/>
      </w:pPr>
      <w:r>
        <w:t>единое окно приема и регистрации запросов;</w:t>
      </w:r>
    </w:p>
    <w:p>
      <w:pPr>
        <w:pStyle w:val="ListBullet"/>
        <w:spacing w:after="40"/>
      </w:pPr>
      <w:r>
        <w:t>нормативный календарь обязательной отчетности;</w:t>
      </w:r>
    </w:p>
    <w:p>
      <w:pPr>
        <w:pStyle w:val="ListBullet"/>
        <w:spacing w:after="40"/>
      </w:pPr>
      <w:r>
        <w:t>реестр показателей и доверенных источников;</w:t>
      </w:r>
    </w:p>
    <w:p>
      <w:pPr>
        <w:pStyle w:val="ListBullet"/>
        <w:spacing w:after="40"/>
      </w:pPr>
      <w:r>
        <w:t>поиск повторных и пересекающихся запросов;</w:t>
      </w:r>
    </w:p>
    <w:p>
      <w:pPr>
        <w:pStyle w:val="ListBullet"/>
        <w:spacing w:after="40"/>
      </w:pPr>
      <w:r>
        <w:t>цифровой агент для подготовки проектов документов;</w:t>
      </w:r>
    </w:p>
    <w:p>
      <w:pPr>
        <w:pStyle w:val="ListBullet"/>
        <w:spacing w:after="40"/>
      </w:pPr>
      <w:r>
        <w:t>маршруты проверки, согласования и подтверждения человеком;</w:t>
      </w:r>
    </w:p>
    <w:p>
      <w:pPr>
        <w:pStyle w:val="ListBullet"/>
        <w:spacing w:after="40"/>
      </w:pPr>
      <w:r>
        <w:t>обезличенная аналитика трудозатрат, дублей и просрочек;</w:t>
      </w:r>
    </w:p>
    <w:p>
      <w:pPr>
        <w:pStyle w:val="ListBullet"/>
        <w:spacing w:after="40"/>
      </w:pPr>
      <w:r>
        <w:t>журнал действий, версий и источников каждого значения.</w:t>
      </w:r>
    </w:p>
    <w:p>
      <w:pPr>
        <w:pStyle w:val="Heading1"/>
        <w:spacing w:before="200" w:after="100"/>
      </w:pPr>
      <w:r>
        <w:t>6. Сквозной процесс</w:t>
      </w:r>
    </w:p>
    <w:p>
      <w:pPr>
        <w:pStyle w:val="ListNumber"/>
        <w:spacing w:after="40"/>
      </w:pPr>
      <w:r>
        <w:t>Запрос поступает в единое окно или загружается сотрудником.</w:t>
      </w:r>
    </w:p>
    <w:p>
      <w:pPr>
        <w:pStyle w:val="ListNumber"/>
        <w:spacing w:after="40"/>
      </w:pPr>
      <w:r>
        <w:t>Агент извлекает инициатора, основание, срок, период и показатели.</w:t>
      </w:r>
    </w:p>
    <w:p>
      <w:pPr>
        <w:pStyle w:val="ListNumber"/>
        <w:spacing w:after="40"/>
      </w:pPr>
      <w:r>
        <w:t>Показатели сопоставляются с реестром и ранее исполненными запросами.</w:t>
      </w:r>
    </w:p>
    <w:p>
      <w:pPr>
        <w:pStyle w:val="ListNumber"/>
        <w:spacing w:after="40"/>
      </w:pPr>
      <w:r>
        <w:t>При совпадении готовится ссылка на уже переданные сведения и проект ответа.</w:t>
      </w:r>
    </w:p>
    <w:p>
      <w:pPr>
        <w:pStyle w:val="ListNumber"/>
        <w:spacing w:after="40"/>
      </w:pPr>
      <w:r>
        <w:t>При новом запросе доступные поля заполняются из доверенных источников.</w:t>
      </w:r>
    </w:p>
    <w:p>
      <w:pPr>
        <w:pStyle w:val="ListNumber"/>
        <w:spacing w:after="40"/>
      </w:pPr>
      <w:r>
        <w:t>Сотрудник проверяет расхождения и подтверждает документ.</w:t>
      </w:r>
    </w:p>
    <w:p>
      <w:pPr>
        <w:pStyle w:val="ListNumber"/>
        <w:spacing w:after="40"/>
      </w:pPr>
      <w:r>
        <w:t>Система фиксирует отправку, версию, происхождение данных и трудозатраты.</w:t>
      </w:r>
    </w:p>
    <w:p>
      <w:pPr>
        <w:pStyle w:val="Heading1"/>
        <w:spacing w:before="200" w:after="100"/>
      </w:pPr>
      <w:r>
        <w:t>7. Роли и ответственность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494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72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Куратор проекта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Управленческие решения, ресурсы и достижение цели</w:t>
            </w:r>
          </w:p>
        </w:tc>
      </w:tr>
      <w:tr>
        <w:tc>
          <w:tcPr>
            <w:tcW w:type="dxa" w:w="2494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Региональный координатор</w:t>
            </w:r>
          </w:p>
        </w:tc>
        <w:tc>
          <w:tcPr>
            <w:tcW w:type="dxa" w:w="72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Реестр запросов, календарь, правила и аналитика нагрузки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Руководитель ПОО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Организация работы, назначение ответственных и контроль сроков</w:t>
            </w:r>
          </w:p>
        </w:tc>
      </w:tr>
      <w:tr>
        <w:tc>
          <w:tcPr>
            <w:tcW w:type="dxa" w:w="2494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Сотрудник ПОО</w:t>
            </w:r>
          </w:p>
        </w:tc>
        <w:tc>
          <w:tcPr>
            <w:tcW w:type="dxa" w:w="72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Проверка и подтверждение подготовленного документа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Владелец показателя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Методика, качество, источник и актуальность данных</w:t>
            </w:r>
          </w:p>
        </w:tc>
      </w:tr>
      <w:tr>
        <w:tc>
          <w:tcPr>
            <w:tcW w:type="dxa" w:w="2494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Администратор</w:t>
            </w:r>
          </w:p>
        </w:tc>
        <w:tc>
          <w:tcPr>
            <w:tcW w:type="dxa" w:w="72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Роли, справочники, интеграции, резервное копирование и аудит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Эксперт по ИБ и ПДн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Модель угроз и контроль защищенной обработки данных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8. Целевые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649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587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База</w:t>
            </w:r>
          </w:p>
        </w:tc>
        <w:tc>
          <w:tcPr>
            <w:tcW w:type="dxa" w:w="1587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Пилот</w:t>
            </w:r>
          </w:p>
        </w:tc>
        <w:tc>
          <w:tcPr>
            <w:tcW w:type="dxa" w:w="1587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1-й год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Сокращение времени подготовки ответа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0%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≥ 30%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≥ 40%</w:t>
            </w:r>
          </w:p>
        </w:tc>
      </w:tr>
      <w:tr>
        <w:tc>
          <w:tcPr>
            <w:tcW w:type="dxa" w:w="4649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Сокращение повторных запросов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0%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≥ 15%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≥ 25%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Поля из доверенных источников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замер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≥ 50%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≥ 60%</w:t>
            </w:r>
          </w:p>
        </w:tc>
      </w:tr>
      <w:tr>
        <w:tc>
          <w:tcPr>
            <w:tcW w:type="dxa" w:w="4649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Точность выявления дублей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нет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≥ 85%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≥ 90%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Просроченные ответы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замер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≤ 8%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≤ 5%</w:t>
            </w:r>
          </w:p>
        </w:tc>
      </w:tr>
      <w:tr>
        <w:tc>
          <w:tcPr>
            <w:tcW w:type="dxa" w:w="4649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Документы без проверки человеком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нет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0%</w:t>
            </w:r>
          </w:p>
        </w:tc>
        <w:tc>
          <w:tcPr>
            <w:tcW w:type="dxa" w:w="158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0%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ПОО в цифровом контуре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5-7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100%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9. Этапы и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1417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4762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Обследование и базовый замер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1 месяц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Карта отчетности, трудозатраты и владельцы данных</w:t>
            </w:r>
          </w:p>
        </w:tc>
      </w:tr>
      <w:tr>
        <w:tc>
          <w:tcPr>
            <w:tcW w:type="dxa" w:w="340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Регламентирование и проектирование</w:t>
            </w:r>
          </w:p>
        </w:tc>
        <w:tc>
          <w:tcPr>
            <w:tcW w:type="dxa" w:w="141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2 месяца</w:t>
            </w:r>
          </w:p>
        </w:tc>
        <w:tc>
          <w:tcPr>
            <w:tcW w:type="dxa" w:w="476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Модель данных, процессы, ИБ и UX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Разработка MVP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3 месяца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Реестр, календарь, поиск дублей и проекты ответов</w:t>
            </w:r>
          </w:p>
        </w:tc>
      </w:tr>
      <w:tr>
        <w:tc>
          <w:tcPr>
            <w:tcW w:type="dxa" w:w="340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Подготовка пилота</w:t>
            </w:r>
          </w:p>
        </w:tc>
        <w:tc>
          <w:tcPr>
            <w:tcW w:type="dxa" w:w="141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1 месяц</w:t>
            </w:r>
          </w:p>
        </w:tc>
        <w:tc>
          <w:tcPr>
            <w:tcW w:type="dxa" w:w="476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Обучение, шаблоны и подключение 5-7 ПОО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Пилотная эксплуатация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2 месяца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Метрики, обратная связь и корректировки</w:t>
            </w:r>
          </w:p>
        </w:tc>
      </w:tr>
      <w:tr>
        <w:tc>
          <w:tcPr>
            <w:tcW w:type="dxa" w:w="340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Тиражирование</w:t>
            </w:r>
          </w:p>
        </w:tc>
        <w:tc>
          <w:tcPr>
            <w:tcW w:type="dxa" w:w="1417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3 месяца</w:t>
            </w:r>
          </w:p>
        </w:tc>
        <w:tc>
          <w:tcPr>
            <w:tcW w:type="dxa" w:w="476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Все ПОО и приоритетные интеграции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10. Ресурсы</w:t>
      </w:r>
    </w:p>
    <w:p>
      <w:pPr>
        <w:pStyle w:val="ListBullet"/>
        <w:spacing w:after="40"/>
      </w:pPr>
      <w:r>
        <w:t>руководитель и координатор проекта;</w:t>
      </w:r>
    </w:p>
    <w:p>
      <w:pPr>
        <w:pStyle w:val="ListBullet"/>
        <w:spacing w:after="40"/>
      </w:pPr>
      <w:r>
        <w:t>бизнес-аналитик, методолог СПО и представители пилотных ПОО;</w:t>
      </w:r>
    </w:p>
    <w:p>
      <w:pPr>
        <w:pStyle w:val="ListBullet"/>
        <w:spacing w:after="40"/>
      </w:pPr>
      <w:r>
        <w:t>архитектор, разработчики, специалист по данным и тестировщик;</w:t>
      </w:r>
    </w:p>
    <w:p>
      <w:pPr>
        <w:pStyle w:val="ListBullet"/>
        <w:spacing w:after="40"/>
      </w:pPr>
      <w:r>
        <w:t>специалисты по информационной безопасности и защите персональных данных;</w:t>
      </w:r>
    </w:p>
    <w:p>
      <w:pPr>
        <w:pStyle w:val="ListBullet"/>
        <w:spacing w:after="40"/>
      </w:pPr>
      <w:r>
        <w:t>защищенная инфраструктура, резервное копирование и мониторинг.</w:t>
      </w:r>
    </w:p>
    <w:p>
      <w:pPr>
        <w:spacing w:after="100"/>
      </w:pPr>
      <w:r>
        <w:t>Объем финансирования определяется после обследования, выбора модели размещения и уточнения состава интеграций.</w:t>
      </w:r>
    </w:p>
    <w:p>
      <w:pPr>
        <w:pStyle w:val="Heading1"/>
        <w:spacing w:before="200" w:after="100"/>
      </w:pPr>
      <w:r>
        <w:t>11. Риски и меры реагирования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3402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6293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Мера реагирования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Неполный реестр отчетности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Инвентаризация с утверждением владельцами процессов</w:t>
            </w:r>
          </w:p>
        </w:tc>
      </w:tr>
      <w:tr>
        <w:tc>
          <w:tcPr>
            <w:tcW w:type="dxa" w:w="340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Низкое качество данных</w:t>
            </w:r>
          </w:p>
        </w:tc>
        <w:tc>
          <w:tcPr>
            <w:tcW w:type="dxa" w:w="6293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Паспорт показателя, проверки и ответственный владелец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Ошибочная рекомендация агента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Ссылки на источник, порог уверенности и проверка человеком</w:t>
            </w:r>
          </w:p>
        </w:tc>
      </w:tr>
      <w:tr>
        <w:tc>
          <w:tcPr>
            <w:tcW w:type="dxa" w:w="340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Сопротивление пользователей</w:t>
            </w:r>
          </w:p>
        </w:tc>
        <w:tc>
          <w:tcPr>
            <w:tcW w:type="dxa" w:w="6293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Совместное проектирование, обучение и полезные первые сценарии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Риск утечки данных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Защищенный контур, минимизация и разграничение доступа</w:t>
            </w:r>
          </w:p>
        </w:tc>
      </w:tr>
      <w:tr>
        <w:tc>
          <w:tcPr>
            <w:tcW w:type="dxa" w:w="3402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Автоматизация лишнего процесса</w:t>
            </w:r>
          </w:p>
        </w:tc>
        <w:tc>
          <w:tcPr>
            <w:tcW w:type="dxa" w:w="6293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Отмена и объединение запроса до автоматизации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12. Информационная безопасность</w:t>
      </w:r>
    </w:p>
    <w:p>
      <w:pPr>
        <w:spacing w:after="100"/>
      </w:pPr>
      <w:r>
        <w:t>Агент не принимает юридически значимых решений, не подписывает и не отправляет документы самостоятельно. Доступ предоставляется по роли и организации. Все действия, версии и источники журналируются. Персональные данные обрабатываются только в защищенном контуре.</w:t>
      </w:r>
    </w:p>
    <w:p>
      <w:pPr>
        <w:pStyle w:val="Heading1"/>
        <w:spacing w:before="200" w:after="100"/>
      </w:pPr>
      <w:r>
        <w:t>13. Ожидаемый эффект</w:t>
      </w:r>
    </w:p>
    <w:p>
      <w:pPr>
        <w:pStyle w:val="ListBullet"/>
        <w:spacing w:after="40"/>
      </w:pPr>
      <w:r>
        <w:t>высвобождение времени для образовательной и методической работы;</w:t>
      </w:r>
    </w:p>
    <w:p>
      <w:pPr>
        <w:pStyle w:val="ListBullet"/>
        <w:spacing w:after="40"/>
      </w:pPr>
      <w:r>
        <w:t>сокращение повторного сбора и расхождений между версиями;</w:t>
      </w:r>
    </w:p>
    <w:p>
      <w:pPr>
        <w:pStyle w:val="ListBullet"/>
        <w:spacing w:after="40"/>
      </w:pPr>
      <w:r>
        <w:t>единый прозрачный календарь и снижение просрочек;</w:t>
      </w:r>
    </w:p>
    <w:p>
      <w:pPr>
        <w:pStyle w:val="ListBullet"/>
        <w:spacing w:after="40"/>
      </w:pPr>
      <w:r>
        <w:t>измеримая картина административной нагрузки региона;</w:t>
      </w:r>
    </w:p>
    <w:p>
      <w:pPr>
        <w:pStyle w:val="ListBullet"/>
        <w:spacing w:after="40"/>
      </w:pPr>
      <w:r>
        <w:t>регулярная отмена и объединение избыточных запросов;</w:t>
      </w:r>
    </w:p>
    <w:p>
      <w:pPr>
        <w:pStyle w:val="ListBullet"/>
        <w:spacing w:after="40"/>
      </w:pPr>
      <w:r>
        <w:t>повышение качества данных и скорости управленческих решений.</w:t>
      </w:r>
    </w:p>
    <w:p>
      <w:pPr>
        <w:pStyle w:val="Heading1"/>
        <w:spacing w:before="200" w:after="100"/>
      </w:pPr>
      <w:r>
        <w:t>14. Критерии успешности пилота</w:t>
      </w:r>
    </w:p>
    <w:p>
      <w:pPr>
        <w:spacing w:after="100"/>
      </w:pPr>
      <w:r>
        <w:t>Достигнуты целевые показатели пилота, отсутствуют критические инциденты информационной безопасности, не менее 80% активных пользователей положительно оценивают полезность решения, а региональным штабом принято решение о тиражировании с утвержденным перечнем доработок.</w:t>
      </w:r>
    </w:p>
    <w:sectPr w:rsidR="00FC693F" w:rsidRPr="0006063C" w:rsidSect="00034616">
      <w:pgSz w:w="12240" w:h="15840"/>
      <w:pgMar w:top="907" w:right="90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7D79"/>
        <w:sz w:val="16"/>
      </w:rPr>
      <w:t>БюроНет СПО  •  паспорт проекта</w:t>
    </w:r>
    <w:r>
      <w:rPr>
        <w:rFonts w:ascii="Arial" w:hAnsi="Arial"/>
        <w:color w:val="6D7D79"/>
        <w:sz w:val="16"/>
      </w:rPr>
      <w:t>БюроНет СПО  •  паспорт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2B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B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67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B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