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Исходные данные, участники и ответственные лица проекта «КЦП СПО»</w:t>
      </w:r>
    </w:p>
    <w:p>
      <w:pPr>
        <w:pStyle w:val="Heading2"/>
      </w:pPr>
      <w:r>
        <w:t>1. Назначение документа</w:t>
      </w:r>
    </w:p>
    <w:p>
      <w:pPr>
        <w:spacing w:after="100"/>
      </w:pPr>
      <w:r>
        <w:t>Документ задает стартовый состав данных, участников и зон ответственности для региональной кампании формирования и согласования КЦП СПО. ФИО ответственных лиц заполняются заказчиком после официального назначения. До назначения используются должности и организации.</w:t>
      </w:r>
    </w:p>
    <w:p>
      <w:pPr>
        <w:pStyle w:val="Heading2"/>
      </w:pPr>
      <w:r>
        <w:t>2. Паспорт участников проекта</w:t>
      </w:r>
    </w:p>
    <w:p>
      <w:pPr>
        <w:pStyle w:val="Heading2"/>
      </w:pPr>
      <w:r>
        <w:t>3. Карточка ответственного лица</w:t>
      </w:r>
    </w:p>
    <w:p>
      <w:pPr>
        <w:spacing w:after="100"/>
      </w:pPr>
      <w:r>
        <w:t>Для каждой назначенной персоны в системе заполняются:</w:t>
      </w:r>
    </w:p>
    <w:p>
      <w:pPr>
        <w:pStyle w:val="Heading2"/>
      </w:pPr>
      <w:r>
        <w:t>4. Исходные наборы данных</w:t>
      </w:r>
    </w:p>
    <w:p>
      <w:pPr>
        <w:pStyle w:val="Heading2"/>
      </w:pPr>
      <w:r>
        <w:t>5. Стартовый демонстрационный набор</w:t>
      </w:r>
    </w:p>
    <w:p>
      <w:pPr>
        <w:spacing w:after="100"/>
      </w:pPr>
      <w:r>
        <w:t>Демонстрационные значения не являются официальной статистикой и заменяются после загрузки региональных источников.</w:t>
      </w:r>
    </w:p>
    <w:p>
      <w:pPr>
        <w:pStyle w:val="Heading2"/>
      </w:pPr>
      <w:r>
        <w:t>6. Матрица ответственности RACI</w:t>
      </w:r>
    </w:p>
    <w:p>
      <w:pPr>
        <w:spacing w:after="100"/>
      </w:pPr>
      <w:r>
        <w:t>Обозначения: R — выполняет работу, A — утверждает результат, C — консультирует, I — получает информацию.</w:t>
      </w:r>
    </w:p>
    <w:p>
      <w:pPr>
        <w:pStyle w:val="Heading2"/>
      </w:pPr>
      <w:r>
        <w:t>7. Правила актуализации</w:t>
      </w:r>
    </w:p>
    <w:p>
      <w:pPr>
        <w:pStyle w:val="ListNumber"/>
      </w:pPr>
      <w:r>
        <w:t>Владелец набора данных отвечает за его полноту, актуальность и источник.</w:t>
      </w:r>
    </w:p>
    <w:p>
      <w:pPr>
        <w:pStyle w:val="ListNumber"/>
      </w:pPr>
      <w:r>
        <w:t>Каждая загрузка получает дату, версию, период данных и отметку о проверке.</w:t>
      </w:r>
    </w:p>
    <w:p>
      <w:pPr>
        <w:pStyle w:val="ListNumber"/>
      </w:pPr>
      <w:r>
        <w:t>Исправления после подачи заявки выполняются только через новую версию с указанием причины.</w:t>
      </w:r>
    </w:p>
    <w:p>
      <w:pPr>
        <w:pStyle w:val="ListNumber"/>
      </w:pPr>
      <w:r>
        <w:t>Не подтвержденные работодателем данные маркируются как предварительные.</w:t>
      </w:r>
    </w:p>
    <w:p>
      <w:pPr>
        <w:pStyle w:val="ListNumber"/>
      </w:pPr>
      <w:r>
        <w:t>Персональные данные ответственных лиц доступны только пользователям с соответствующим правом.</w:t>
      </w:r>
    </w:p>
    <w:p>
      <w:pPr>
        <w:pStyle w:val="ListNumber"/>
      </w:pPr>
      <w:r>
        <w:t>Перед запуском официальной кампании демонстрационные значения удаляются или помечаются как тестовые.</w:t>
      </w:r>
    </w:p>
    <w:sectPr w:rsidR="00FC693F" w:rsidRPr="0006063C" w:rsidSect="00034616">
      <w:pgSz w:w="12240" w:h="15840"/>
      <w:pgMar w:top="1000" w:right="9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6B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