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Паспорт регионального проекта «КЦП СПО»</w:t>
      </w:r>
    </w:p>
    <w:p>
      <w:pPr>
        <w:pStyle w:val="Heading2"/>
      </w:pPr>
      <w:r>
        <w:t>Задачи</w:t>
      </w:r>
    </w:p>
    <w:p>
      <w:pPr>
        <w:pStyle w:val="ListNumber"/>
      </w:pPr>
      <w:r>
        <w:t>Утвердить региональную методику оценки востребованности профессий.</w:t>
      </w:r>
    </w:p>
    <w:p>
      <w:pPr>
        <w:pStyle w:val="ListNumber"/>
      </w:pPr>
      <w:r>
        <w:t>Объединить данные работодателей, центров занятости и ПОО.</w:t>
      </w:r>
    </w:p>
    <w:p>
      <w:pPr>
        <w:pStyle w:val="ListNumber"/>
      </w:pPr>
      <w:r>
        <w:t>Рассчитать индекс востребованности и карту кадрового дефицита.</w:t>
      </w:r>
    </w:p>
    <w:p>
      <w:pPr>
        <w:pStyle w:val="ListNumber"/>
      </w:pPr>
      <w:r>
        <w:t>Синхронизировать предложения ПОО с потребностью по территориям и отраслям.</w:t>
      </w:r>
    </w:p>
    <w:p>
      <w:pPr>
        <w:pStyle w:val="ListNumber"/>
      </w:pPr>
      <w:r>
        <w:t>Автоматизировать проверки, экспертизу, согласование и протоколирование.</w:t>
      </w:r>
    </w:p>
    <w:p>
      <w:pPr>
        <w:pStyle w:val="ListNumber"/>
      </w:pPr>
      <w:r>
        <w:t>Обеспечить межведомственное рассмотрение сценариев КЦП.</w:t>
      </w:r>
    </w:p>
    <w:p>
      <w:pPr>
        <w:pStyle w:val="ListNumber"/>
      </w:pPr>
      <w:r>
        <w:t>Связать утвержденные цифры с мониторингом набора, выпуска и трудоустройства.</w:t>
      </w:r>
    </w:p>
    <w:p>
      <w:pPr>
        <w:pStyle w:val="Heading2"/>
      </w:pPr>
      <w:r>
        <w:t>Целевые показатели пилота</w:t>
      </w:r>
    </w:p>
    <w:p>
      <w:pPr>
        <w:pStyle w:val="Heading2"/>
      </w:pPr>
      <w:r>
        <w:t>Принципы</w:t>
      </w:r>
    </w:p>
    <w:p>
      <w:pPr>
        <w:spacing w:after="100"/>
      </w:pPr>
      <w:r>
        <w:t>Региональность, межведомственность, доказательность, единые справочники, территориальный баланс, персональная ответственность, версионность решений и ежегодная обратная связь по фактическому трудоустройству.</w:t>
      </w:r>
    </w:p>
    <w:p>
      <w:pPr>
        <w:pStyle w:val="Heading2"/>
      </w:pPr>
      <w:r>
        <w:t>Участники и исходные данные</w:t>
      </w:r>
    </w:p>
    <w:p>
      <w:pPr>
        <w:spacing w:after="100"/>
      </w:pPr>
      <w:r>
        <w:t>Подробный реестр участников, должностей, контактных полей, источников данных и матрица ответственности RACI приведены в документе `Iskhodnye_dannye_i_otvetstvennye_KCP_SPO.md`. Стартовый машинный набор для загрузки в прототип находится в файле `Iskhodnye_dannye_KCP_SPO.json`.</w:t>
      </w:r>
    </w:p>
    <w:p>
      <w:pPr>
        <w:spacing w:after="100"/>
      </w:pPr>
      <w:r>
        <w:t>В состав стартовых данных входят справочники муниципалитетов, отраслей, профессий и ПОО; кадровые заявки работодателей; сведения центров занятости о вакансиях и дефиците; данные о мощности, приеме, выпуске и трудоустройстве ПОО; прогнозы отраслевого развития; лимиты и решения межведомственного штаба.</w:t>
      </w:r>
    </w:p>
    <w:p>
      <w:pPr>
        <w:pStyle w:val="Heading2"/>
      </w:pPr>
      <w:r>
        <w:t>Границы</w:t>
      </w:r>
    </w:p>
    <w:p>
      <w:pPr>
        <w:spacing w:after="100"/>
      </w:pPr>
      <w:r>
        <w:t>Платформа формирует аналитическое и согласовательное основание для КЦП. Она не подменяет нормативный акт, полномочия органа управления образованием, деятельность службы занятости, кадровые решения работодателя или образовательный процесс ПОО.</w:t>
      </w:r>
    </w:p>
    <w:p>
      <w:pPr>
        <w:pStyle w:val="Heading2"/>
      </w:pPr>
      <w:r>
        <w:t>Основные риски</w:t>
      </w:r>
    </w:p>
    <w:sectPr w:rsidR="00FC693F" w:rsidRPr="0006063C" w:rsidSect="00034616">
      <w:pgSz w:w="12240" w:h="15840"/>
      <w:pgMar w:top="1000" w:right="900" w:bottom="100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B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233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D66B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233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