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160"/>
        <w:jc w:val="center"/>
      </w:pPr>
      <w:r>
        <w:rPr>
          <w:rFonts w:ascii="Arial" w:hAnsi="Arial" w:eastAsia="Arial"/>
          <w:b/>
          <w:color w:val="17233B"/>
          <w:sz w:val="40"/>
        </w:rPr>
        <w:t>КРИТЕРИИ И РИСКИ ПРОЕКТА</w:t>
      </w:r>
    </w:p>
    <w:p>
      <w:pPr>
        <w:spacing w:after="560"/>
        <w:jc w:val="center"/>
      </w:pPr>
      <w:r>
        <w:rPr>
          <w:b/>
          <w:sz w:val="28"/>
        </w:rPr>
        <w:t>региональный проект «ПрофТрек»</w:t>
      </w:r>
    </w:p>
    <w:p>
      <w:pPr>
        <w:jc w:val="center"/>
      </w:pPr>
      <w:r>
        <w:t>37 колледжей · около 5 000 выпускников</w:t>
        <w:br/>
        <w:t>Луганская Народная Республика · 2026 год</w:t>
      </w:r>
    </w:p>
    <w:p>
      <w:r>
        <w:br w:type="page"/>
      </w:r>
    </w:p>
    <w:p>
      <w:pPr>
        <w:pStyle w:val="Heading1"/>
        <w:keepNext/>
      </w:pPr>
      <w:r>
        <w:t>1. Назначение документа</w:t>
      </w:r>
    </w:p>
    <w:p>
      <w:r>
        <w:t>Документ устанавливает критерии успешности проекта «ПрофТрек», показатели контроля и порядок управления рисками. Критерии используются для пилотной оценки, ежемесячного мониторинга и принятия решения о дальнейшем масштабировании системы.</w:t>
      </w:r>
    </w:p>
    <w:p>
      <w:pPr>
        <w:pStyle w:val="Heading1"/>
        <w:keepNext/>
      </w:pPr>
      <w:r>
        <w:t>2. Критерии успешности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c>
          <w:tcPr>
            <w:tcW w:type="dxa" w:w="397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170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Критерий</w:t>
            </w:r>
          </w:p>
        </w:tc>
        <w:tc>
          <w:tcPr>
            <w:tcW w:type="dxa" w:w="238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Показатель</w:t>
            </w:r>
          </w:p>
        </w:tc>
        <w:tc>
          <w:tcPr>
            <w:tcW w:type="dxa" w:w="181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Целевое значение первого года</w:t>
            </w:r>
          </w:p>
        </w:tc>
        <w:tc>
          <w:tcPr>
            <w:tcW w:type="dxa" w:w="170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Источник</w:t>
            </w:r>
          </w:p>
        </w:tc>
        <w:tc>
          <w:tcPr>
            <w:tcW w:type="dxa" w:w="1417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Периодичность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Охват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Доля выпускников, внесенных в реестр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менее 95%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Реестр и выпускные списки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Ежемесячно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Контакт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Доля выпускников с подтвержденными контактами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менее 90%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Карточки выпускников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Ежемесячно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Оценка риска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Доля выпускников с актуальным уровнем риска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100% включенных в реестр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Карточки и анкеты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Ежемесячно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Адресное сопровождение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Выпускники высокого риска с куратором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100%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Назначения кураторов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Еженедельно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Индивидуальный план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Доля группы риска с утвержденным планом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менее 90%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Планы сопровождения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Ежемесячно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Карьерные возможности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Доля группы риска, получившая подходящее предложение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менее 70%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История направлений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Ежемесячно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Трудоустройство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Подтвержденно трудоустроенные из группы риска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менее 50–60%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Работодатель / выпускник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Ежеквартально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Устойчивость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Сохранили занятость через 3 месяца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менее 80% трудоустроенных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Контрольный контакт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Ежеквартально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Актуальность вакансий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Вакансии, подтвержденные не более 30 дней назад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менее 90%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Банк вакансий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Еженедельно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Работодатели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Активные организации-партнеры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менее 100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Реестр партнеров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Ежемесячно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Качество данных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Карточки без критических ошибок и дублей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менее 98%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Выборочный аудит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Ежемесячно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Своевременность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Просроченные обязательные действия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более 10%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Задачи и планы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Еженедельно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Удовлетворенность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Положительные оценки выпускников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менее 80%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Опрос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Раз в полугодие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Защита данных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Подтвержденные инциденты утечки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0 критических инцидентов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Журнал инцидентов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Постоянно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Критерии готовности к запуску</w:t>
      </w:r>
    </w:p>
    <w:p>
      <w:pPr>
        <w:pStyle w:val="ListBullet"/>
        <w:spacing w:after="40"/>
      </w:pPr>
      <w:r>
        <w:t>утверждены паспорт проекта, регламент и методика определения риска;</w:t>
      </w:r>
    </w:p>
    <w:p>
      <w:pPr>
        <w:pStyle w:val="ListBullet"/>
        <w:spacing w:after="40"/>
      </w:pPr>
      <w:r>
        <w:t>назначены ответственные лица базового центра и всех колледжей пилота;</w:t>
      </w:r>
    </w:p>
    <w:p>
      <w:pPr>
        <w:pStyle w:val="ListBullet"/>
        <w:spacing w:after="40"/>
      </w:pPr>
      <w:r>
        <w:t>определены три роли и права доступа пользователей;</w:t>
      </w:r>
    </w:p>
    <w:p>
      <w:pPr>
        <w:pStyle w:val="ListBullet"/>
        <w:spacing w:after="40"/>
      </w:pPr>
      <w:r>
        <w:t>подготовлены формы согласий и порядок обработки персональных данных;</w:t>
      </w:r>
    </w:p>
    <w:p>
      <w:pPr>
        <w:pStyle w:val="ListBullet"/>
        <w:spacing w:after="40"/>
      </w:pPr>
      <w:r>
        <w:t>выполнена проверка основных пользовательских сценариев;</w:t>
      </w:r>
    </w:p>
    <w:p>
      <w:pPr>
        <w:pStyle w:val="ListBullet"/>
        <w:spacing w:after="40"/>
      </w:pPr>
      <w:r>
        <w:t>сформирован первоначальный реестр выпускников и справочник колледжей;</w:t>
      </w:r>
    </w:p>
    <w:p>
      <w:pPr>
        <w:pStyle w:val="ListBullet"/>
        <w:spacing w:after="40"/>
      </w:pPr>
      <w:r>
        <w:t>налажен канал приема и модерации вакансий работодателей;</w:t>
      </w:r>
    </w:p>
    <w:p>
      <w:pPr>
        <w:pStyle w:val="ListBullet"/>
        <w:spacing w:after="40"/>
      </w:pPr>
      <w:r>
        <w:t>определен порядок технической поддержки и регистрации инцидентов;</w:t>
      </w:r>
    </w:p>
    <w:p>
      <w:pPr>
        <w:pStyle w:val="ListBullet"/>
        <w:spacing w:after="40"/>
      </w:pPr>
      <w:r>
        <w:t>пользователи прошли обучение и получили руководство.</w:t>
      </w:r>
    </w:p>
    <w:p>
      <w:pPr>
        <w:pStyle w:val="Heading1"/>
        <w:keepNext/>
      </w:pPr>
      <w:r>
        <w:t>4. Критерии завершения пилотного этапа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3402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Критерий</w:t>
            </w:r>
          </w:p>
        </w:tc>
        <w:tc>
          <w:tcPr>
            <w:tcW w:type="dxa" w:w="5953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Минимальное условие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Охват пилота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менее 90% выпускников выбранных колледжей внесены в систему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Работа пользователей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менее 90% назначенных сотрудников используют систему регулярно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Качество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более 5% карточек содержат критические ошибки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Сопровождение риска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Все выпускники высокого риска имеют куратора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Вакансии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менее 80% опубликованных вакансий подтверждены работодателями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Результат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подтвержденные случаи трудоустройства через систему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Безопасность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Нет критических нарушений защиты персональных данных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Решение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Подготовлен отчет с перечнем доработок и планом масштабирования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Методика оценки рисков</w:t>
      </w:r>
    </w:p>
    <w:p>
      <w:r>
        <w:t>Каждый риск оценивается по двум параметрам: вероятность возникновения и влияние на проект. Используется шкала от 1 до 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13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Балл</w:t>
            </w:r>
          </w:p>
        </w:tc>
        <w:tc>
          <w:tcPr>
            <w:tcW w:type="dxa" w:w="3969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Вероятность</w:t>
            </w:r>
          </w:p>
        </w:tc>
        <w:tc>
          <w:tcPr>
            <w:tcW w:type="dxa" w:w="4252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Влияние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Очень низкая — событие маловероятно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Незначительное, работа продолжается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Низкая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Небольшое отклонение сроков или показателей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Средняя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Заметное влияние, требуется вмешательство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Высокая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Серьезное нарушение сроков или результатов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Очень высокая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Критическое влияние или остановка проекта</w:t>
            </w:r>
          </w:p>
        </w:tc>
      </w:tr>
    </w:tbl>
    <w:p>
      <w:pPr>
        <w:spacing w:after="0"/>
      </w:pPr>
    </w:p>
    <w:p>
      <w:r>
        <w:t>Итоговый балл риска рассчитывается как произведение вероятности и влияния: R = P × 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Итоговый балл</w:t>
            </w:r>
          </w:p>
        </w:tc>
        <w:tc>
          <w:tcPr>
            <w:tcW w:type="dxa" w:w="226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Уровень</w:t>
            </w:r>
          </w:p>
        </w:tc>
        <w:tc>
          <w:tcPr>
            <w:tcW w:type="dxa" w:w="4819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Решение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1–4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Низкий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Наблюдение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5–9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Умеренный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Плановые меры и контроль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10–16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Высокий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Обязательный план реагирования и ответственный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17–25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Критический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Немедленная эскалация руководителю проекта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Реестр рисков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567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Код</w:t>
            </w:r>
          </w:p>
        </w:tc>
        <w:tc>
          <w:tcPr>
            <w:tcW w:type="dxa" w:w="255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Риск</w:t>
            </w:r>
          </w:p>
        </w:tc>
        <w:tc>
          <w:tcPr>
            <w:tcW w:type="dxa" w:w="397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</w:t>
            </w:r>
          </w:p>
        </w:tc>
        <w:tc>
          <w:tcPr>
            <w:tcW w:type="dxa" w:w="397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I</w:t>
            </w:r>
          </w:p>
        </w:tc>
        <w:tc>
          <w:tcPr>
            <w:tcW w:type="dxa" w:w="130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Балл / уровень</w:t>
            </w:r>
          </w:p>
        </w:tc>
        <w:tc>
          <w:tcPr>
            <w:tcW w:type="dxa" w:w="306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Меры предупреждения</w:t>
            </w:r>
          </w:p>
        </w:tc>
        <w:tc>
          <w:tcPr>
            <w:tcW w:type="dxa" w:w="181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Ответственный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Неполный реестр выпускников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20 / критический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Сверка с выпускными списками, контроль охвата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Колледж / базовый центр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R2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Недостоверные или устаревшие статусы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16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Регулярный контакт, дата подтверждения, выборочный аудит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Руководитель центра карьеры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R3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Формальное определение группы риска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15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Единые критерии, обучение, проверка решений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Базовый центр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R4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Выпускники не выходят на связь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12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Несколько каналов связи, раннее анкетирование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Куратор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R5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Недостаток актуальных вакансий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16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Публичная форма, партнерская сеть, контроль срока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Базовый центр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R6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Работодатели передают недостоверные вакансии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12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Модерация, проверка ИНН и контактов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Базовый центр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R7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Дублирование функций порталов занятости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9 / умеренный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Фокус на выпускниках СПО и сопровождении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Руководитель проекта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R8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Низкая активность колледжей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15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Показатели, обучение, рейтинги и контроль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Министерство / базовый центр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R9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Недостаток времени у кураторов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16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Приоритет красной группы, норматив нагрузки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Руководитель колледжа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R10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Ошибочное подтверждение трудоустройства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12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Работодатель, должность и дата обязательны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Колледж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R11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Утечка персональных данных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10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Разграничение доступа, журналирование, обучение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Администратор / оператор данных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R12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Несанкционированный доступ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15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Персональные учетные записи, сложные пароли, блокировка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Администратор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R13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Потеря данных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10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Серверная БД, резервное копирование, восстановление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Технический оператор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R14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Использование локальной версии как промышленной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20 / критический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До запуска создать серверную архитектуру и авторизацию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Заказчик проекта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R15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Отсутствие финансирования сопровождения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15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Расчет стоимости владения и поэтапное финансирование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Заказчик проекта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R16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Технические сбои и недоступность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12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Мониторинг, резервирование, регламент поддержки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Технический оператор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R17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Низкая цифровая грамотность пользователей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9 / умеренный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Обучение, руководство, линия поддержки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Базовый центр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R18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Сопротивление изменениям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9 / умеренный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Пилот, обратная связь, демонстрация пользы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Руководитель проекта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R19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Неправомерная обработка чувствительных сведений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10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Минимизация данных и правовая экспертиза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Оператор персональных данных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R20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Завышение показателей ради отчетности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15 / высокий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Подтверждение результатов и независимый аудит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Министерство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Критические риски до промышленного запуска</w:t>
      </w:r>
    </w:p>
    <w:p>
      <w:r>
        <w:t>Демонстрационная версия хранит данные в браузере и не предназначена для работы с реальными персональными данными 5 000 выпускников. До промышленного запуска необходимо выполнить следующие обязательные условия:</w:t>
      </w:r>
    </w:p>
    <w:p>
      <w:pPr>
        <w:pStyle w:val="ListBullet"/>
        <w:spacing w:after="40"/>
      </w:pPr>
      <w:r>
        <w:t>развернуть серверную базу данных в защищенной инфраструктуре;</w:t>
      </w:r>
    </w:p>
    <w:p>
      <w:pPr>
        <w:pStyle w:val="ListBullet"/>
        <w:spacing w:after="40"/>
      </w:pPr>
      <w:r>
        <w:t>реализовать персональную авторизацию и фактическое разграничение прав;</w:t>
      </w:r>
    </w:p>
    <w:p>
      <w:pPr>
        <w:pStyle w:val="ListBullet"/>
        <w:spacing w:after="40"/>
      </w:pPr>
      <w:r>
        <w:t>обеспечить журналирование входов и изменений карточек;</w:t>
      </w:r>
    </w:p>
    <w:p>
      <w:pPr>
        <w:pStyle w:val="ListBullet"/>
        <w:spacing w:after="40"/>
      </w:pPr>
      <w:r>
        <w:t>реализовать резервное копирование и проверку восстановления;</w:t>
      </w:r>
    </w:p>
    <w:p>
      <w:pPr>
        <w:pStyle w:val="ListBullet"/>
        <w:spacing w:after="40"/>
      </w:pPr>
      <w:r>
        <w:t>утвердить правовые основания обработки персональных данных;</w:t>
      </w:r>
    </w:p>
    <w:p>
      <w:pPr>
        <w:pStyle w:val="ListBullet"/>
        <w:spacing w:after="40"/>
      </w:pPr>
      <w:r>
        <w:t>провести оценку защищенности и тестирование безопасности;</w:t>
      </w:r>
    </w:p>
    <w:p>
      <w:pPr>
        <w:pStyle w:val="ListBullet"/>
        <w:spacing w:after="40"/>
      </w:pPr>
      <w:r>
        <w:t>назначить оператора, администратора и ответственных за инциденты;</w:t>
      </w:r>
    </w:p>
    <w:p>
      <w:pPr>
        <w:pStyle w:val="ListBullet"/>
        <w:spacing w:after="40"/>
      </w:pPr>
      <w:r>
        <w:t>утвердить сроки хранения и порядок удаления данных.</w:t>
      </w:r>
    </w:p>
    <w:p>
      <w:pPr>
        <w:pStyle w:val="Heading1"/>
        <w:keepNext/>
      </w:pPr>
      <w:r>
        <w:t>8. Порядок мониторинга рисков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26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Периодичность</w:t>
            </w:r>
          </w:p>
        </w:tc>
        <w:tc>
          <w:tcPr>
            <w:tcW w:type="dxa" w:w="7087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Действие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Еженедельно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Проверка новых критических событий, просроченных задач и актуальности вакансий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Ежемесячно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Пересмотр вероятности и влияния, отчет базового центра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Ежеквартально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Рассмотрение высоких рисков на уровне Министерства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После инцидента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Внеплановая переоценка и корректирующий план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Перед масштабированием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Полная оценка готовности, безопасности и ресурсов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Сигналы раннего предупреждения</w:t>
      </w:r>
    </w:p>
    <w:p>
      <w:pPr>
        <w:pStyle w:val="ListBullet"/>
        <w:spacing w:after="40"/>
      </w:pPr>
      <w:r>
        <w:t>охват реестра ниже планового более двух отчетных периодов;</w:t>
      </w:r>
    </w:p>
    <w:p>
      <w:pPr>
        <w:pStyle w:val="ListBullet"/>
        <w:spacing w:after="40"/>
      </w:pPr>
      <w:r>
        <w:t>рост карточек без подтвержденного контакта;</w:t>
      </w:r>
    </w:p>
    <w:p>
      <w:pPr>
        <w:pStyle w:val="ListBullet"/>
        <w:spacing w:after="40"/>
      </w:pPr>
      <w:r>
        <w:t>более 10% просроченных мероприятий индивидуальных планов;</w:t>
      </w:r>
    </w:p>
    <w:p>
      <w:pPr>
        <w:pStyle w:val="ListBullet"/>
        <w:spacing w:after="40"/>
      </w:pPr>
      <w:r>
        <w:t>снижение числа подтвержденных вакансий;</w:t>
      </w:r>
    </w:p>
    <w:p>
      <w:pPr>
        <w:pStyle w:val="ListBullet"/>
        <w:spacing w:after="40"/>
      </w:pPr>
      <w:r>
        <w:t>увеличение числа отказов работодателей из-за несоответствия кандидатов;</w:t>
      </w:r>
    </w:p>
    <w:p>
      <w:pPr>
        <w:pStyle w:val="ListBullet"/>
        <w:spacing w:after="40"/>
      </w:pPr>
      <w:r>
        <w:t>расхождение данных колледжей и сводной аналитики;</w:t>
      </w:r>
    </w:p>
    <w:p>
      <w:pPr>
        <w:pStyle w:val="ListBullet"/>
        <w:spacing w:after="40"/>
      </w:pPr>
      <w:r>
        <w:t>жалобы на доступ к чужим персональным данным;</w:t>
      </w:r>
    </w:p>
    <w:p>
      <w:pPr>
        <w:pStyle w:val="ListBullet"/>
        <w:spacing w:after="40"/>
      </w:pPr>
      <w:r>
        <w:t>систематическое использование общих учетных записей;</w:t>
      </w:r>
    </w:p>
    <w:p>
      <w:pPr>
        <w:pStyle w:val="ListBullet"/>
        <w:spacing w:after="40"/>
      </w:pPr>
      <w:r>
        <w:t>невозможность подтвердить заявленное трудоустройство.</w:t>
      </w:r>
    </w:p>
    <w:p>
      <w:pPr>
        <w:pStyle w:val="Heading1"/>
        <w:keepNext/>
      </w:pPr>
      <w:r>
        <w:t>10. Управленческое решение по показателям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Состояние</w:t>
            </w:r>
          </w:p>
        </w:tc>
        <w:tc>
          <w:tcPr>
            <w:tcW w:type="dxa" w:w="4535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Условие</w:t>
            </w:r>
          </w:p>
        </w:tc>
        <w:tc>
          <w:tcPr>
            <w:tcW w:type="dxa" w:w="311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Решение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Зеленое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 менее 80% ключевых показателей достигнуты, критических рисков нет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Продолжение и масштабирование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Желтое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Достигнуто 60–79%, имеются контролируемые высокие риски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Корректирующий план на 1–3 месяца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Красное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Менее 60% либо реализовался критический риск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Приостановка масштабирования и пересмотр проекта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Ответственность</w:t>
      </w:r>
    </w:p>
    <w:p>
      <w:r>
        <w:t>Базовый центр ведет реестр рисков и ежемесячно обновляет оценки. Руководители центров карьеры сообщают о рисках и инцидентах. Министерство образования и науки ЛНР рассматривает критические риски, утверждает корректирующие меры и принимает решение о масштабировании проекта.</w:t>
      </w:r>
    </w:p>
    <w:p/>
    <w:p>
      <w:r>
        <w:rPr>
          <w:b/>
        </w:rPr>
        <w:t xml:space="preserve">Ответственный за ведение реестра рисков: </w:t>
      </w:r>
      <w:r>
        <w:t>__________________________</w:t>
      </w:r>
      <w:r>
        <w:rPr>
          <w:b/>
        </w:rPr>
        <w:t xml:space="preserve">    Дата актуализации: </w:t>
      </w:r>
      <w:r>
        <w:t>________________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07" w:right="737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Критерии и риски | Проект «ПрофТрек»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23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23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ПрофТрек — от диплома к профессии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