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100" w:after="280"/>
        <w:jc w:val="center"/>
      </w:pPr>
      <w:r>
        <w:rPr>
          <w:rFonts w:ascii="Arial" w:hAnsi="Arial" w:eastAsia="Arial"/>
          <w:b/>
          <w:color w:val="1F4E79"/>
          <w:sz w:val="40"/>
        </w:rPr>
        <w:t>ПАСПОРТ ПРОЕКТА</w:t>
      </w:r>
    </w:p>
    <w:p>
      <w:pPr>
        <w:spacing w:after="900"/>
        <w:jc w:val="center"/>
      </w:pPr>
      <w:r>
        <w:rPr>
          <w:rFonts w:ascii="Arial" w:hAnsi="Arial" w:eastAsia="Arial"/>
          <w:b/>
          <w:sz w:val="32"/>
        </w:rPr>
        <w:t>«ПрофТрек ЛНР»</w:t>
      </w:r>
    </w:p>
    <w:p>
      <w:pPr>
        <w:jc w:val="center"/>
      </w:pPr>
      <w:r>
        <w:rPr>
          <w:i/>
        </w:rPr>
        <w:t>Единая региональная система сопровождения выпускников колледжей до трудоустройства</w:t>
      </w:r>
    </w:p>
    <w:p>
      <w:r>
        <w:br w:type="page"/>
      </w:r>
    </w:p>
    <w:p>
      <w:pPr>
        <w:pStyle w:val="Heading1"/>
        <w:keepNext/>
      </w:pPr>
      <w:r>
        <w:t>1. Общие сведения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71"/>
        <w:gridCol w:w="5071"/>
      </w:tblGrid>
      <w:tr>
        <w:tc>
          <w:tcPr>
            <w:tcW w:type="dxa" w:w="2381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Параметр</w:t>
            </w:r>
          </w:p>
        </w:tc>
        <w:tc>
          <w:tcPr>
            <w:tcW w:type="dxa" w:w="669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Содержание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Наименование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«ПрофТрек ЛНР»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Тип проекта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Региональный социально-образовательный проект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Инициатор и заказчик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Министерство образования ЛНР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Координатор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Базовый центр карьеры и маршрутизации выпускников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Участники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Центры карьеры 37 колледжей, работодатели, органы занятости, организации дополнительного профессионального образования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Территория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Луганская Народная Республика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Целевая группа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Около 5 000 выпускников колледжей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Срок реализации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12 месяцев с возможностью продления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Формат запуска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Пилот в 6–8 колледжах с последующим масштабированием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2. Актуальность и проблема</w:t>
      </w:r>
    </w:p>
    <w:p>
      <w:r>
        <w:t>В регионе отсутствует единая база выпускников колледжей. Информация хранится разрозненно, что затрудняет отслеживание трудовой траектории выпускников, обмен сведениями между колледжами и базовым центром, подбор вакансий и оценку эффективности центров карьеры.</w:t>
      </w:r>
    </w:p>
    <w:p>
      <w:r>
        <w:t>Особого внимания требуют выпускники без опыта работы, не трудоустроенные в течение 1–3 месяцев после выпуска, проживающие в отдаленных населенных пунктах, нуждающиеся в переобучении или не имеющие необходимых профессиональных и цифровых навыков.</w:t>
      </w:r>
    </w:p>
    <w:p>
      <w:pPr>
        <w:pStyle w:val="Heading1"/>
        <w:keepNext/>
      </w:pPr>
      <w:r>
        <w:t>3. Цель проекта</w:t>
      </w:r>
    </w:p>
    <w:p>
      <w:r>
        <w:t>Создать единую региональную систему выявления, сопровождения и трудоустройства выпускников колледжей, особенно выпускников группы риска.</w:t>
      </w:r>
    </w:p>
    <w:p>
      <w:pPr>
        <w:pStyle w:val="Heading1"/>
        <w:keepNext/>
      </w:pPr>
      <w:r>
        <w:t>4. Задачи проекта</w:t>
      </w:r>
    </w:p>
    <w:p>
      <w:pPr>
        <w:pStyle w:val="ListNumber"/>
        <w:spacing w:after="40"/>
      </w:pPr>
      <w:r>
        <w:t>Сформировать единый региональный реестр выпускников.</w:t>
      </w:r>
    </w:p>
    <w:p>
      <w:pPr>
        <w:pStyle w:val="ListNumber"/>
        <w:spacing w:after="40"/>
      </w:pPr>
      <w:r>
        <w:t>Утвердить общие стандарты работы центров карьеры.</w:t>
      </w:r>
    </w:p>
    <w:p>
      <w:pPr>
        <w:pStyle w:val="ListNumber"/>
        <w:spacing w:after="40"/>
      </w:pPr>
      <w:r>
        <w:t>Ввести единую методику определения риска нетрудоустройства.</w:t>
      </w:r>
    </w:p>
    <w:p>
      <w:pPr>
        <w:pStyle w:val="ListNumber"/>
        <w:spacing w:after="40"/>
      </w:pPr>
      <w:r>
        <w:t>Назначить персональных кураторов выпускникам группы риска.</w:t>
      </w:r>
    </w:p>
    <w:p>
      <w:pPr>
        <w:pStyle w:val="ListNumber"/>
        <w:spacing w:after="40"/>
      </w:pPr>
      <w:r>
        <w:t>Создать механизм обмена вакансиями между колледжами и базовым центром.</w:t>
      </w:r>
    </w:p>
    <w:p>
      <w:pPr>
        <w:pStyle w:val="ListNumber"/>
        <w:spacing w:after="40"/>
      </w:pPr>
      <w:r>
        <w:t>Организовать взаимодействие с работодателями.</w:t>
      </w:r>
    </w:p>
    <w:p>
      <w:pPr>
        <w:pStyle w:val="ListNumber"/>
        <w:spacing w:after="40"/>
      </w:pPr>
      <w:r>
        <w:t>Обеспечить доступ к стажировкам, дополнительному обучению и переобучению.</w:t>
      </w:r>
    </w:p>
    <w:p>
      <w:pPr>
        <w:pStyle w:val="ListNumber"/>
        <w:spacing w:after="40"/>
      </w:pPr>
      <w:r>
        <w:t>Ввести мониторинг трудоустройства через 3, 6 и 12 месяцев.</w:t>
      </w:r>
    </w:p>
    <w:p>
      <w:pPr>
        <w:pStyle w:val="ListNumber"/>
        <w:spacing w:after="40"/>
      </w:pPr>
      <w:r>
        <w:t>Создать систему региональной аналитики по трудоустройству выпускников.</w:t>
      </w:r>
    </w:p>
    <w:p>
      <w:pPr>
        <w:pStyle w:val="Heading1"/>
        <w:keepNext/>
      </w:pPr>
      <w:r>
        <w:t>5. Целевые группы</w:t>
      </w:r>
    </w:p>
    <w:p>
      <w:pPr>
        <w:pStyle w:val="ListBullet"/>
        <w:spacing w:after="40"/>
      </w:pPr>
      <w:r>
        <w:t>Около 5 000 выпускников 37 колледжей.</w:t>
      </w:r>
    </w:p>
    <w:p>
      <w:pPr>
        <w:pStyle w:val="ListBullet"/>
        <w:spacing w:after="40"/>
      </w:pPr>
      <w:r>
        <w:t>Выпускники, находящиеся под риском нетрудоустройства.</w:t>
      </w:r>
    </w:p>
    <w:p>
      <w:pPr>
        <w:pStyle w:val="ListBullet"/>
        <w:spacing w:after="40"/>
      </w:pPr>
      <w:r>
        <w:t>Выпускники без опыта работы или нуждающиеся в дополнительном обучении.</w:t>
      </w:r>
    </w:p>
    <w:p>
      <w:pPr>
        <w:pStyle w:val="ListBullet"/>
        <w:spacing w:after="40"/>
      </w:pPr>
      <w:r>
        <w:t>Выпускники с ограниченным доступом к работодателям.</w:t>
      </w:r>
    </w:p>
    <w:p>
      <w:pPr>
        <w:pStyle w:val="ListBullet"/>
        <w:spacing w:after="40"/>
      </w:pPr>
      <w:r>
        <w:t>Работодатели, заинтересованные в подготовленных кадрах.</w:t>
      </w:r>
    </w:p>
    <w:p>
      <w:pPr>
        <w:pStyle w:val="Heading1"/>
        <w:keepNext/>
      </w:pPr>
      <w:r>
        <w:t>6. Модель сопровождения выпускника</w:t>
      </w:r>
    </w:p>
    <w:p>
      <w:pPr>
        <w:pStyle w:val="ListNumber"/>
        <w:spacing w:after="40"/>
      </w:pPr>
      <w:r>
        <w:t>Формирование профиля: образование, навыки, опыт, место проживания, желаемая работа и готовность к переезду.</w:t>
      </w:r>
    </w:p>
    <w:p>
      <w:pPr>
        <w:pStyle w:val="ListNumber"/>
        <w:spacing w:after="40"/>
      </w:pPr>
      <w:r>
        <w:t>Оценка риска с подтверждением специалистом колледжа.</w:t>
      </w:r>
    </w:p>
    <w:p>
      <w:pPr>
        <w:pStyle w:val="ListNumber"/>
        <w:spacing w:after="40"/>
      </w:pPr>
      <w:r>
        <w:t>Назначение куратора выпускникам желтой и красной групп.</w:t>
      </w:r>
    </w:p>
    <w:p>
      <w:pPr>
        <w:pStyle w:val="ListNumber"/>
        <w:spacing w:after="40"/>
      </w:pPr>
      <w:r>
        <w:t>Разработка индивидуального плана сопровождения.</w:t>
      </w:r>
    </w:p>
    <w:p>
      <w:pPr>
        <w:pStyle w:val="ListNumber"/>
        <w:spacing w:after="40"/>
      </w:pPr>
      <w:r>
        <w:t>Подбор вакансии, стажировки или обучения.</w:t>
      </w:r>
    </w:p>
    <w:p>
      <w:pPr>
        <w:pStyle w:val="ListNumber"/>
        <w:spacing w:after="40"/>
      </w:pPr>
      <w:r>
        <w:t>Ежемесячное обновление статуса выпускника.</w:t>
      </w:r>
    </w:p>
    <w:p>
      <w:pPr>
        <w:pStyle w:val="ListNumber"/>
        <w:spacing w:after="40"/>
      </w:pPr>
      <w:r>
        <w:t>Проверка результата через 3, 6 и 12 месяцев после выпуска или трудоустройства.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81"/>
        <w:gridCol w:w="3381"/>
        <w:gridCol w:w="3381"/>
      </w:tblGrid>
      <w:tr>
        <w:tc>
          <w:tcPr>
            <w:tcW w:type="dxa" w:w="1417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Группа</w:t>
            </w:r>
          </w:p>
        </w:tc>
        <w:tc>
          <w:tcPr>
            <w:tcW w:type="dxa" w:w="3402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Характеристика</w:t>
            </w:r>
          </w:p>
        </w:tc>
        <w:tc>
          <w:tcPr>
            <w:tcW w:type="dxa" w:w="4252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Меры поддержки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Зеленая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Трудоустроен или самостоятельно ищет работу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Информирование и рассылка вакансий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Желтая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Испытывает отдельные трудности при поиске работы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Консультации, резюме, обучение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Красная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Высокий риск длительной безработицы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Персональный куратор и индивидуальный план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7. Распределение ответственности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71"/>
        <w:gridCol w:w="5071"/>
      </w:tblGrid>
      <w:tr>
        <w:tc>
          <w:tcPr>
            <w:tcW w:type="dxa" w:w="2835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Участник</w:t>
            </w:r>
          </w:p>
        </w:tc>
        <w:tc>
          <w:tcPr>
            <w:tcW w:type="dxa" w:w="6236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Ответственность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Министерство образования ЛНР</w:t>
            </w:r>
          </w:p>
        </w:tc>
        <w:tc>
          <w:tcPr>
            <w:tcW w:type="dxa" w:w="623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Утверждение проекта, нормативное и организационное обеспечение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Базовый центр</w:t>
            </w:r>
          </w:p>
        </w:tc>
        <w:tc>
          <w:tcPr>
            <w:tcW w:type="dxa" w:w="623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Координация, методика, аналитика, база вакансий, обучение специалистов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Центры карьеры колледжей</w:t>
            </w:r>
          </w:p>
        </w:tc>
        <w:tc>
          <w:tcPr>
            <w:tcW w:type="dxa" w:w="623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Анкетирование, сопровождение, контакт с выпускниками, отчетность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Кураторы</w:t>
            </w:r>
          </w:p>
        </w:tc>
        <w:tc>
          <w:tcPr>
            <w:tcW w:type="dxa" w:w="623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Персональная работа с выпускниками группы риска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Работодатели</w:t>
            </w:r>
          </w:p>
        </w:tc>
        <w:tc>
          <w:tcPr>
            <w:tcW w:type="dxa" w:w="623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Вакансии, стажировки, собеседования, обратная связь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Органы занятости</w:t>
            </w:r>
          </w:p>
        </w:tc>
        <w:tc>
          <w:tcPr>
            <w:tcW w:type="dxa" w:w="623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Подбор работы и содействие в профессиональном обучении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Выпускники</w:t>
            </w:r>
          </w:p>
        </w:tc>
        <w:tc>
          <w:tcPr>
            <w:tcW w:type="dxa" w:w="623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Предоставление актуальных данных и участие в мероприятиях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8. Этапы реализации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81"/>
        <w:gridCol w:w="3381"/>
        <w:gridCol w:w="3381"/>
      </w:tblGrid>
      <w:tr>
        <w:tc>
          <w:tcPr>
            <w:tcW w:type="dxa" w:w="1701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Этап</w:t>
            </w:r>
          </w:p>
        </w:tc>
        <w:tc>
          <w:tcPr>
            <w:tcW w:type="dxa" w:w="1417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Срок</w:t>
            </w:r>
          </w:p>
        </w:tc>
        <w:tc>
          <w:tcPr>
            <w:tcW w:type="dxa" w:w="5953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Основные мероприятия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Подготовительный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1–2 месяц</w:t>
            </w:r>
          </w:p>
        </w:tc>
        <w:tc>
          <w:tcPr>
            <w:tcW w:type="dxa" w:w="595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Утверждение проекта, назначение координаторов, разработка анкет, критериев риска и регламентов; выбор 6–8 колледжей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Пилотный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3–5 месяц</w:t>
            </w:r>
          </w:p>
        </w:tc>
        <w:tc>
          <w:tcPr>
            <w:tcW w:type="dxa" w:w="595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Анкетирование, создание профилей, запуск сопровождения, формирование банка вакансий, подключение работодателей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Региональный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6–10 месяц</w:t>
            </w:r>
          </w:p>
        </w:tc>
        <w:tc>
          <w:tcPr>
            <w:tcW w:type="dxa" w:w="595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Подключение всех колледжей, расширение базы работодателей, стажировки, ярмарки вакансий, мониторинг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Итоговый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11–12 месяц</w:t>
            </w:r>
          </w:p>
        </w:tc>
        <w:tc>
          <w:tcPr>
            <w:tcW w:type="dxa" w:w="595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Оценка результатов, аналитический отчет, решение о постоянной работе и цифровой платформе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9. Единый реестр выпускников</w:t>
      </w:r>
    </w:p>
    <w:p>
      <w:r>
        <w:t>На первом этапе необходимо создать защищенный электронный реестр. В него включаются только сведения, необходимые для сопровождения и трудоустройства:</w:t>
      </w:r>
    </w:p>
    <w:p>
      <w:pPr>
        <w:pStyle w:val="ListBullet"/>
        <w:spacing w:after="40"/>
      </w:pPr>
      <w:r>
        <w:t>ФИО, год выпуска, колледж, специальность и квалификация;</w:t>
      </w:r>
    </w:p>
    <w:p>
      <w:pPr>
        <w:pStyle w:val="ListBullet"/>
        <w:spacing w:after="40"/>
      </w:pPr>
      <w:r>
        <w:t>населенный пункт проживания и контактные данные;</w:t>
      </w:r>
    </w:p>
    <w:p>
      <w:pPr>
        <w:pStyle w:val="ListBullet"/>
        <w:spacing w:after="40"/>
      </w:pPr>
      <w:r>
        <w:t>опыт работы, практика и профессиональные навыки;</w:t>
      </w:r>
    </w:p>
    <w:p>
      <w:pPr>
        <w:pStyle w:val="ListBullet"/>
        <w:spacing w:after="40"/>
      </w:pPr>
      <w:r>
        <w:t>желаемая должность, готовность к переезду и формат занятости;</w:t>
      </w:r>
    </w:p>
    <w:p>
      <w:pPr>
        <w:pStyle w:val="ListBullet"/>
        <w:spacing w:after="40"/>
      </w:pPr>
      <w:r>
        <w:t>статус занятости, уровень риска и назначенный куратор;</w:t>
      </w:r>
    </w:p>
    <w:p>
      <w:pPr>
        <w:pStyle w:val="ListBullet"/>
        <w:spacing w:after="40"/>
      </w:pPr>
      <w:r>
        <w:t>история предложенных вакансий и результат сопровождения.</w:t>
      </w:r>
    </w:p>
    <w:p>
      <w:r>
        <w:t>Доступ к персональным данным разграничивается: колледж видит своих выпускников, базовый центр получает сводную аналитику и необходимые карточки сопровождения. Обработка данных осуществляется в соответствии с действующим законодательством.</w:t>
      </w:r>
    </w:p>
    <w:p>
      <w:pPr>
        <w:pStyle w:val="Heading1"/>
        <w:keepNext/>
      </w:pPr>
      <w:r>
        <w:t>10. Планируемые результаты</w:t>
      </w:r>
    </w:p>
    <w:p>
      <w:pPr>
        <w:pStyle w:val="ListBullet"/>
        <w:spacing w:after="40"/>
      </w:pPr>
      <w:r>
        <w:t>Создан единый реестр выпускников.</w:t>
      </w:r>
    </w:p>
    <w:p>
      <w:pPr>
        <w:pStyle w:val="ListBullet"/>
        <w:spacing w:after="40"/>
      </w:pPr>
      <w:r>
        <w:t>В реестр включено не менее 95% выпускников.</w:t>
      </w:r>
    </w:p>
    <w:p>
      <w:pPr>
        <w:pStyle w:val="ListBullet"/>
        <w:spacing w:after="40"/>
      </w:pPr>
      <w:r>
        <w:t>С не менее чем 90% выпускников установлен контакт.</w:t>
      </w:r>
    </w:p>
    <w:p>
      <w:pPr>
        <w:pStyle w:val="ListBullet"/>
        <w:spacing w:after="40"/>
      </w:pPr>
      <w:r>
        <w:t>Для каждого выпускника определен уровень риска.</w:t>
      </w:r>
    </w:p>
    <w:p>
      <w:pPr>
        <w:pStyle w:val="ListBullet"/>
        <w:spacing w:after="40"/>
      </w:pPr>
      <w:r>
        <w:t>Все выпускники красной группы получили персонального куратора.</w:t>
      </w:r>
    </w:p>
    <w:p>
      <w:pPr>
        <w:pStyle w:val="ListBullet"/>
        <w:spacing w:after="40"/>
      </w:pPr>
      <w:r>
        <w:t>Сформирован региональный банк вакансий и сеть работодателей.</w:t>
      </w:r>
    </w:p>
    <w:p>
      <w:pPr>
        <w:pStyle w:val="ListBullet"/>
        <w:spacing w:after="40"/>
      </w:pPr>
      <w:r>
        <w:t>Запущен мониторинг трудоустройства через 3, 6 и 12 месяцев.</w:t>
      </w:r>
    </w:p>
    <w:p>
      <w:pPr>
        <w:pStyle w:val="Heading1"/>
        <w:keepNext/>
      </w:pPr>
      <w:r>
        <w:t>11. Ключевые показатели эффективности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71"/>
        <w:gridCol w:w="5071"/>
      </w:tblGrid>
      <w:tr>
        <w:tc>
          <w:tcPr>
            <w:tcW w:type="dxa" w:w="652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Показатель</w:t>
            </w:r>
          </w:p>
        </w:tc>
        <w:tc>
          <w:tcPr>
            <w:tcW w:type="dxa" w:w="2835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Плановое значение</w:t>
            </w:r>
          </w:p>
        </w:tc>
      </w:tr>
      <w:tr>
        <w:tc>
          <w:tcPr>
            <w:tcW w:type="dxa" w:w="6520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Выпускники, внесенные в реестр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 менее 95%</w:t>
            </w:r>
          </w:p>
        </w:tc>
      </w:tr>
      <w:tr>
        <w:tc>
          <w:tcPr>
            <w:tcW w:type="dxa" w:w="6520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Выпускники, с которыми установлен контакт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 менее 90%</w:t>
            </w:r>
          </w:p>
        </w:tc>
      </w:tr>
      <w:tr>
        <w:tc>
          <w:tcPr>
            <w:tcW w:type="dxa" w:w="6520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Выпускники с определенным уровнем риска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100% включенных в реестр</w:t>
            </w:r>
          </w:p>
        </w:tc>
      </w:tr>
      <w:tr>
        <w:tc>
          <w:tcPr>
            <w:tcW w:type="dxa" w:w="6520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Выпускники красной группы с куратором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100%</w:t>
            </w:r>
          </w:p>
        </w:tc>
      </w:tr>
      <w:tr>
        <w:tc>
          <w:tcPr>
            <w:tcW w:type="dxa" w:w="6520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Выпускники группы риска с индивидуальным планом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 менее 90%</w:t>
            </w:r>
          </w:p>
        </w:tc>
      </w:tr>
      <w:tr>
        <w:tc>
          <w:tcPr>
            <w:tcW w:type="dxa" w:w="6520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Получили предложение о вакансии или обучении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 менее 70%</w:t>
            </w:r>
          </w:p>
        </w:tc>
      </w:tr>
      <w:tr>
        <w:tc>
          <w:tcPr>
            <w:tcW w:type="dxa" w:w="6520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Трудоустройство выпускников группы риска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 менее 50–60%</w:t>
            </w:r>
          </w:p>
        </w:tc>
      </w:tr>
      <w:tr>
        <w:tc>
          <w:tcPr>
            <w:tcW w:type="dxa" w:w="6520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Подключенные работодатели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 менее 100 организаций за первый год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12. Ресурсное обеспечение</w:t>
      </w:r>
    </w:p>
    <w:p>
      <w:pPr>
        <w:pStyle w:val="ListBullet"/>
        <w:spacing w:after="40"/>
      </w:pPr>
      <w:r>
        <w:t>Координатор проекта в базовом центре.</w:t>
      </w:r>
    </w:p>
    <w:p>
      <w:pPr>
        <w:pStyle w:val="ListBullet"/>
        <w:spacing w:after="40"/>
      </w:pPr>
      <w:r>
        <w:t>Ответственные сотрудники в 37 колледжах.</w:t>
      </w:r>
    </w:p>
    <w:p>
      <w:pPr>
        <w:pStyle w:val="ListBullet"/>
        <w:spacing w:after="40"/>
      </w:pPr>
      <w:r>
        <w:t>Кураторы выпускников красной группы риска.</w:t>
      </w:r>
    </w:p>
    <w:p>
      <w:pPr>
        <w:pStyle w:val="ListBullet"/>
        <w:spacing w:after="40"/>
      </w:pPr>
      <w:r>
        <w:t>Защищенный электронный реестр и база вакансий.</w:t>
      </w:r>
    </w:p>
    <w:p>
      <w:pPr>
        <w:pStyle w:val="ListBullet"/>
        <w:spacing w:after="40"/>
      </w:pPr>
      <w:r>
        <w:t>Телефонные и онлайн-каналы связи.</w:t>
      </w:r>
    </w:p>
    <w:p>
      <w:pPr>
        <w:pStyle w:val="ListBullet"/>
        <w:spacing w:after="40"/>
      </w:pPr>
      <w:r>
        <w:t>Ресурсы на обучение, стажировки и профориентационные мероприятия.</w:t>
      </w:r>
    </w:p>
    <w:p>
      <w:pPr>
        <w:pStyle w:val="Heading1"/>
        <w:keepNext/>
      </w:pPr>
      <w:r>
        <w:t>13. Основные риски и меры реагирования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71"/>
        <w:gridCol w:w="5071"/>
      </w:tblGrid>
      <w:tr>
        <w:tc>
          <w:tcPr>
            <w:tcW w:type="dxa" w:w="3402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Риск</w:t>
            </w:r>
          </w:p>
        </w:tc>
        <w:tc>
          <w:tcPr>
            <w:tcW w:type="dxa" w:w="5953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Меры реагирования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Устаревшие данные</w:t>
            </w:r>
          </w:p>
        </w:tc>
        <w:tc>
          <w:tcPr>
            <w:tcW w:type="dxa" w:w="595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Ежемесячное обновление сведений и назначение ответственных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Выпускники не выходят на связь</w:t>
            </w:r>
          </w:p>
        </w:tc>
        <w:tc>
          <w:tcPr>
            <w:tcW w:type="dxa" w:w="595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Использование нескольких каналов связи и повторные контакты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Недостаток вакансий</w:t>
            </w:r>
          </w:p>
        </w:tc>
        <w:tc>
          <w:tcPr>
            <w:tcW w:type="dxa" w:w="595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Работа с работодателями соседних регионов и дистанционной занятостью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Низкая активность колледжей</w:t>
            </w:r>
          </w:p>
        </w:tc>
        <w:tc>
          <w:tcPr>
            <w:tcW w:type="dxa" w:w="595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Единые показатели, обучение и регулярный контроль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Утечка персональных данных</w:t>
            </w:r>
          </w:p>
        </w:tc>
        <w:tc>
          <w:tcPr>
            <w:tcW w:type="dxa" w:w="595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Разграничение доступа, защищенное хранение и соблюдение законодательства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Формальный учет трудоустройства</w:t>
            </w:r>
          </w:p>
        </w:tc>
        <w:tc>
          <w:tcPr>
            <w:tcW w:type="dxa" w:w="595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Подтверждение выхода на работу и проверка через 3 месяца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14. Ожидаемый социальный эффект</w:t>
      </w:r>
    </w:p>
    <w:p>
      <w:r>
        <w:t>Реализация проекта позволит сократить период поиска работы после выпуска, снизить риск длительной безработицы, повысить соответствие подготовки выпускников потребностям работодателей, наладить постоянный обмен информацией между колледжами и рынком труда, а также сформировать объективную региональную аналитику.</w:t>
      </w:r>
    </w:p>
    <w:p>
      <w:pPr>
        <w:pStyle w:val="Heading1"/>
        <w:keepNext/>
      </w:pPr>
      <w:r>
        <w:t>15. Решения, необходимые для запуска</w:t>
      </w:r>
    </w:p>
    <w:p>
      <w:pPr>
        <w:pStyle w:val="ListNumber"/>
        <w:spacing w:after="40"/>
      </w:pPr>
      <w:r>
        <w:t>Утвердить паспорт проекта приказом Министерства образования ЛНР.</w:t>
      </w:r>
    </w:p>
    <w:p>
      <w:pPr>
        <w:pStyle w:val="ListNumber"/>
        <w:spacing w:after="40"/>
      </w:pPr>
      <w:r>
        <w:t>Определить базовый центр и координаторов от 37 колледжей.</w:t>
      </w:r>
    </w:p>
    <w:p>
      <w:pPr>
        <w:pStyle w:val="ListNumber"/>
        <w:spacing w:after="40"/>
      </w:pPr>
      <w:r>
        <w:t>Утвердить единую форму реестра и анкету выпускника.</w:t>
      </w:r>
    </w:p>
    <w:p>
      <w:pPr>
        <w:pStyle w:val="ListNumber"/>
        <w:spacing w:after="40"/>
      </w:pPr>
      <w:r>
        <w:t>Утвердить критерии определения группы риска.</w:t>
      </w:r>
    </w:p>
    <w:p>
      <w:pPr>
        <w:pStyle w:val="ListNumber"/>
        <w:spacing w:after="40"/>
      </w:pPr>
      <w:r>
        <w:t>Утвердить порядок работы с персональными данными.</w:t>
      </w:r>
    </w:p>
    <w:p>
      <w:pPr>
        <w:pStyle w:val="ListNumber"/>
        <w:spacing w:after="40"/>
      </w:pPr>
      <w:r>
        <w:t>Утвердить форму ежемесячной отчетности.</w:t>
      </w:r>
    </w:p>
    <w:p>
      <w:pPr>
        <w:pStyle w:val="ListNumber"/>
        <w:spacing w:after="40"/>
      </w:pPr>
      <w:r>
        <w:t>Определить колледжи для пилотного запуска и сроки пилота.</w:t>
      </w:r>
    </w:p>
    <w:p/>
    <w:p>
      <w:pPr>
        <w:spacing w:before="360"/>
      </w:pPr>
      <w:r>
        <w:rPr>
          <w:b/>
        </w:rPr>
        <w:t xml:space="preserve">Дата подготовки: </w:t>
      </w:r>
      <w:r>
        <w:t xml:space="preserve">____________________    </w:t>
      </w:r>
      <w:r>
        <w:rPr>
          <w:b/>
        </w:rPr>
        <w:t xml:space="preserve">Ответственный: </w:t>
      </w:r>
      <w:r>
        <w:t>____________________</w:t>
      </w:r>
    </w:p>
    <w:sectPr w:rsidR="00FC693F" w:rsidRPr="0006063C" w:rsidSect="00034616">
      <w:footerReference w:type="default" r:id="rId9"/>
      <w:headerReference w:type="default" r:id="rId10"/>
      <w:pgSz w:w="12240" w:h="15840"/>
      <w:pgMar w:top="1134" w:right="850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46464"/>
        <w:sz w:val="16"/>
      </w:rPr>
      <w:t>Проект «ПрофТрек ЛНР» | Паспорт проекта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ПрофТрек — от диплома к профессии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