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ДОКЛАД ДЛЯ ЗАЩИТЫ СОЦИАЛЬНОГО ПРОЕКТА</w:t>
      </w:r>
    </w:p>
    <w:p>
      <w:pPr>
        <w:pStyle w:val="Heading2"/>
      </w:pPr>
      <w:r>
        <w:t>«ПрофТрек: от диплома к профессии»</w:t>
      </w:r>
    </w:p>
    <w:p>
      <w:r>
        <w:rPr>
          <w:rFonts w:ascii="Arial" w:hAnsi="Arial"/>
          <w:b/>
          <w:color w:val="1B2433"/>
          <w:sz w:val="22"/>
        </w:rPr>
        <w:t>Продолжительность:</w:t>
      </w:r>
      <w:r>
        <w:rPr>
          <w:rFonts w:ascii="Arial" w:hAnsi="Arial"/>
          <w:b w:val="0"/>
          <w:color w:val="1B2433"/>
          <w:sz w:val="22"/>
        </w:rPr>
        <w:t xml:space="preserve"> 8–10 минут</w:t>
      </w:r>
    </w:p>
    <w:p>
      <w:r>
        <w:rPr>
          <w:rFonts w:ascii="Arial" w:hAnsi="Arial"/>
          <w:b/>
          <w:color w:val="1B2433"/>
          <w:sz w:val="22"/>
        </w:rPr>
        <w:t>Докладчик:</w:t>
      </w:r>
      <w:r>
        <w:rPr>
          <w:rFonts w:ascii="Arial" w:hAnsi="Arial"/>
          <w:b w:val="0"/>
          <w:color w:val="1B2433"/>
          <w:sz w:val="22"/>
        </w:rPr>
        <w:t xml:space="preserve"> Кулешова Виктория Геннадьевна</w:t>
      </w:r>
    </w:p>
    <w:p>
      <w:pPr>
        <w:pStyle w:val="Heading3"/>
      </w:pPr>
      <w:r>
        <w:t>Слайд 1. Представление проекта</w:t>
      </w:r>
    </w:p>
    <w:p>
      <w:r>
        <w:rPr>
          <w:rFonts w:ascii="Arial" w:hAnsi="Arial"/>
          <w:b w:val="0"/>
          <w:color w:val="1B2433"/>
          <w:sz w:val="22"/>
        </w:rPr>
        <w:t>Уважаемые коллеги!</w:t>
      </w:r>
    </w:p>
    <w:p>
      <w:r>
        <w:rPr>
          <w:rFonts w:ascii="Arial" w:hAnsi="Arial"/>
          <w:b w:val="0"/>
          <w:color w:val="1B2433"/>
          <w:sz w:val="22"/>
        </w:rPr>
        <w:t>Представляю социальный проект «ПрофТрек: от диплома к профессии». Он направлен на содействие трудоустройству выпускников техникумов и колледжей Луганской Народной Республики и их закрепление на первом рабочем месте.</w:t>
      </w:r>
    </w:p>
    <w:p>
      <w:r>
        <w:rPr>
          <w:rFonts w:ascii="Arial" w:hAnsi="Arial"/>
          <w:b w:val="0"/>
          <w:color w:val="1B2433"/>
          <w:sz w:val="22"/>
        </w:rPr>
        <w:t>Проект реализуется при участии центров карьеры профессиональных образовательных организаций, Базового центра карьеры Министерства образования и науки Луганской Народной Республики и Совета по социальному партнёрству в сфере занятости молодёжи. К проекту также привлекаются работодатели, наставники предприятий и органы службы занятости.</w:t>
      </w:r>
    </w:p>
    <w:p>
      <w:pPr>
        <w:pStyle w:val="Heading3"/>
      </w:pPr>
      <w:r>
        <w:t>Слайд 2. Актуальность</w:t>
      </w:r>
    </w:p>
    <w:p>
      <w:r>
        <w:rPr>
          <w:rFonts w:ascii="Arial" w:hAnsi="Arial"/>
          <w:b w:val="0"/>
          <w:color w:val="1B2433"/>
          <w:sz w:val="22"/>
        </w:rPr>
        <w:t>Получение диплома ещё не гарантирует молодому специалисту успешного начала профессиональной деятельности. Выпускник может обладать необходимыми профессиональными знаниями, но не уметь составить резюме, найти подходящую вакансию, пройти собеседование и представить работодателю свои сильные стороны.</w:t>
      </w:r>
    </w:p>
    <w:p>
      <w:r>
        <w:rPr>
          <w:rFonts w:ascii="Arial" w:hAnsi="Arial"/>
          <w:b w:val="0"/>
          <w:color w:val="1B2433"/>
          <w:sz w:val="22"/>
        </w:rPr>
        <w:t>После трудоустройства возникают новые трудности: адаптация к рабочему режиму, взаимодействие с коллективом, страх ошибок и недостаток практического опыта. Без своевременной поддержки это может привести к увольнению в первые месяцы и уходу из профессии.</w:t>
      </w:r>
    </w:p>
    <w:p>
      <w:r>
        <w:rPr>
          <w:rFonts w:ascii="Arial" w:hAnsi="Arial"/>
          <w:b w:val="0"/>
          <w:color w:val="1B2433"/>
          <w:sz w:val="22"/>
        </w:rPr>
        <w:t>Работодатели при этом нуждаются в молодых квалифицированных кадрах, а образовательным организациям необходима достоверная обратная связь о качестве подготовки выпускников. Проблема заключается не только в отсутствии вакансий, но и в отсутствии единого маршрута, общей ответственности и сопровождения после трудоустройства.</w:t>
      </w:r>
    </w:p>
    <w:p>
      <w:pPr>
        <w:pStyle w:val="Heading3"/>
      </w:pPr>
      <w:r>
        <w:t>Слайд 3. Цель и показатели</w:t>
      </w:r>
    </w:p>
    <w:p>
      <w:r>
        <w:rPr>
          <w:rFonts w:ascii="Arial" w:hAnsi="Arial"/>
          <w:b w:val="0"/>
          <w:color w:val="1B2433"/>
          <w:sz w:val="22"/>
        </w:rPr>
        <w:t>Цель проекта — создать и апробировать региональную систему комплексного сопровождения не менее 100 студентов выпускных курсов и выпускников СПО: от определения профессиональных планов до устойчивого закрепления в профессии.</w:t>
      </w:r>
    </w:p>
    <w:p>
      <w:r>
        <w:rPr>
          <w:rFonts w:ascii="Arial" w:hAnsi="Arial"/>
          <w:b w:val="0"/>
          <w:color w:val="1B2433"/>
          <w:sz w:val="22"/>
        </w:rPr>
        <w:t>Для достижения цели необходимо выявить риски нетрудоустройства, подготовить участников к выходу на рынок труда, сформировать сеть работодателей, обеспечить адресный подбор вакансий, организовать наставничество на предприятиях и контролировать занятость в течение первого года работы.</w:t>
      </w:r>
    </w:p>
    <w:p>
      <w:r>
        <w:rPr>
          <w:rFonts w:ascii="Arial" w:hAnsi="Arial"/>
          <w:b w:val="0"/>
          <w:color w:val="1B2433"/>
          <w:sz w:val="22"/>
        </w:rPr>
        <w:t>Отдельная задача — внедрить единый регламент взаимодействия центров карьеры, Базового центра карьеры и Совета по социальному партнёрству в сфере занятости молодёжи.</w:t>
      </w:r>
    </w:p>
    <w:p>
      <w:pPr>
        <w:pStyle w:val="Heading3"/>
      </w:pPr>
      <w:r>
        <w:t>Слайд 4. Целевая аудитория</w:t>
      </w:r>
    </w:p>
    <w:p>
      <w:r>
        <w:rPr>
          <w:rFonts w:ascii="Arial" w:hAnsi="Arial"/>
          <w:b w:val="0"/>
          <w:color w:val="1B2433"/>
          <w:sz w:val="22"/>
        </w:rPr>
        <w:t>Основная целевая группа — студенты выпускных курсов и недавние выпускники техникумов и колледжей, впервые выходящие на рынок труда.</w:t>
      </w:r>
    </w:p>
    <w:p>
      <w:r>
        <w:rPr>
          <w:rFonts w:ascii="Arial" w:hAnsi="Arial"/>
          <w:b w:val="0"/>
          <w:color w:val="1B2433"/>
          <w:sz w:val="22"/>
        </w:rPr>
        <w:t>Приоритетное сопровождение получат выпускники без опыта работы, молодые люди с инвалидностью и ограниченными возможностями здоровья, сироты, молодые родители, жители удалённых территорий и участники, испытывающие трудности в профессиональной адаптации.</w:t>
      </w:r>
    </w:p>
    <w:p>
      <w:r>
        <w:rPr>
          <w:rFonts w:ascii="Arial" w:hAnsi="Arial"/>
          <w:b w:val="0"/>
          <w:color w:val="1B2433"/>
          <w:sz w:val="22"/>
        </w:rPr>
        <w:t>Косвенными благополучателями станут семьи выпускников, работодатели, наставники, педагогические коллективы и экономика региона.</w:t>
      </w:r>
    </w:p>
    <w:p>
      <w:pPr>
        <w:pStyle w:val="Heading3"/>
      </w:pPr>
      <w:r>
        <w:t>Слайд 5. Механизм проекта</w:t>
      </w:r>
    </w:p>
    <w:p>
      <w:r>
        <w:rPr>
          <w:rFonts w:ascii="Arial" w:hAnsi="Arial"/>
          <w:b w:val="0"/>
          <w:color w:val="1B2433"/>
          <w:sz w:val="22"/>
        </w:rPr>
        <w:t>Профессиональный маршрут включает восемь последовательных шагов: регистрация, диагностика, индивидуальный план, подготовка, подбор вакансии, трудоустройство, адаптация и закрепление.</w:t>
      </w:r>
    </w:p>
    <w:p>
      <w:r>
        <w:rPr>
          <w:rFonts w:ascii="Arial" w:hAnsi="Arial"/>
          <w:b w:val="0"/>
          <w:color w:val="1B2433"/>
          <w:sz w:val="22"/>
        </w:rPr>
        <w:t>На этапе диагностики определяются профессиональные интересы, готовность к работе и возможные барьеры. Участнику устанавливается необходимая интенсивность поддержки: информационная, регулярная или индивидуальная.</w:t>
      </w:r>
    </w:p>
    <w:p>
      <w:r>
        <w:rPr>
          <w:rFonts w:ascii="Arial" w:hAnsi="Arial"/>
          <w:b w:val="0"/>
          <w:color w:val="1B2433"/>
          <w:sz w:val="22"/>
        </w:rPr>
        <w:t>Вместе с куратором выпускник составляет профессиональный маршрут. В нём фиксируются желаемая должность, необходимые компетенции, подходящие работодатели, конкретные действия, сроки и ответственные лица.</w:t>
      </w:r>
    </w:p>
    <w:p>
      <w:pPr>
        <w:pStyle w:val="Heading3"/>
      </w:pPr>
      <w:r>
        <w:t>Слайд 6. Подготовка к трудоустройству</w:t>
      </w:r>
    </w:p>
    <w:p>
      <w:r>
        <w:rPr>
          <w:rFonts w:ascii="Arial" w:hAnsi="Arial"/>
          <w:b w:val="0"/>
          <w:color w:val="1B2433"/>
          <w:sz w:val="22"/>
        </w:rPr>
        <w:t>Участники научатся составлять резюме и сопроводительное письмо, искать и оценивать вакансии, проходить собеседование, вести деловое общение и понимать основные положения трудового законодательства.</w:t>
      </w:r>
    </w:p>
    <w:p>
      <w:r>
        <w:rPr>
          <w:rFonts w:ascii="Arial" w:hAnsi="Arial"/>
          <w:b w:val="0"/>
          <w:color w:val="1B2433"/>
          <w:sz w:val="22"/>
        </w:rPr>
        <w:t>Каждый участник подготовит резюме и пройдёт тренировочное интервью. Дополнительно будут организованы экскурсии на предприятия, профессиональные пробы, встречи с молодыми специалистами и ярмарка вакансий «Первое рабочее место».</w:t>
      </w:r>
    </w:p>
    <w:p>
      <w:pPr>
        <w:pStyle w:val="Heading3"/>
      </w:pPr>
      <w:r>
        <w:t>Слайд 7. Адаптация на рабочем месте</w:t>
      </w:r>
    </w:p>
    <w:p>
      <w:r>
        <w:rPr>
          <w:rFonts w:ascii="Arial" w:hAnsi="Arial"/>
          <w:b w:val="0"/>
          <w:color w:val="1B2433"/>
          <w:sz w:val="22"/>
        </w:rPr>
        <w:t>После трудоустройства сопровождение не заканчивается. Для молодого специалиста формируется адаптационная карта на первые 90 дней, а работодатель назначает наставника.</w:t>
      </w:r>
    </w:p>
    <w:p>
      <w:r>
        <w:rPr>
          <w:rFonts w:ascii="Arial" w:hAnsi="Arial"/>
          <w:b w:val="0"/>
          <w:color w:val="1B2433"/>
          <w:sz w:val="22"/>
        </w:rPr>
        <w:t>В первую неделю выпускник знакомится с рабочим местом, коллективом и правилами. В первый месяц осваивает основные операции под руководством наставника. Во второй и третий месяцы переходит к самостоятельной работе и получает обратную связь.</w:t>
      </w:r>
    </w:p>
    <w:p>
      <w:r>
        <w:rPr>
          <w:rFonts w:ascii="Arial" w:hAnsi="Arial"/>
          <w:b w:val="0"/>
          <w:color w:val="1B2433"/>
          <w:sz w:val="22"/>
        </w:rPr>
        <w:t>Куратор связывается с выпускником после первой недели, затем через один, три, шесть и двенадцать месяцев. При риске увольнения проводится совместная консультация выпускника, наставника и куратора.</w:t>
      </w:r>
    </w:p>
    <w:p>
      <w:pPr>
        <w:pStyle w:val="Heading3"/>
      </w:pPr>
      <w:r>
        <w:t>Слайд 8. Партнёрская модель</w:t>
      </w:r>
    </w:p>
    <w:p>
      <w:r>
        <w:rPr>
          <w:rFonts w:ascii="Arial" w:hAnsi="Arial"/>
          <w:b w:val="0"/>
          <w:color w:val="1B2433"/>
          <w:sz w:val="22"/>
        </w:rPr>
        <w:t>Здесь важно доступно объяснить устройство системы. Центр карьеры — это не отдельная внешняя организация, а структурное подразделение конкретного техникума или колледжа. Руководитель и специалисты такого центра являются сотрудниками своей образовательной организации. Они знают студентов, специальности, преподавателей и местных работодателей, поэтому именно они работают непосредственно с выпускниками: проводят диагностику, ведут индивидуальные маршруты, подбирают вакансии и контролируют результаты.</w:t>
      </w:r>
    </w:p>
    <w:p>
      <w:r>
        <w:rPr>
          <w:rFonts w:ascii="Arial" w:hAnsi="Arial"/>
          <w:b w:val="0"/>
          <w:color w:val="1B2433"/>
          <w:sz w:val="22"/>
        </w:rPr>
        <w:t>Одновременно в республике существует Базовый центр карьеры. Простыми словами, это общий координационный и методический центр для сети центров карьеры техникумов и колледжей. Он не подменяет работу колледжей и не забирает у них выпускников. Его задача — помочь всем центрам действовать согласованно: предоставить единые формы и методические материалы, собрать общую базу работодателей и вакансий, организовать обучение специалистов и сформировать обезличенную региональную аналитику.</w:t>
      </w:r>
    </w:p>
    <w:p>
      <w:r>
        <w:rPr>
          <w:rFonts w:ascii="Arial" w:hAnsi="Arial"/>
          <w:b w:val="0"/>
          <w:color w:val="1B2433"/>
          <w:sz w:val="22"/>
        </w:rPr>
        <w:t>Совет по социальному партнёрству в сфере занятости молодёжи становится площадкой согласования интересов образования и рынка труда. Он содействует привлечению работодателей, рассматривает кадровые запросы и помогает устранять межведомственные барьеры.</w:t>
      </w:r>
    </w:p>
    <w:p>
      <w:r>
        <w:rPr>
          <w:rFonts w:ascii="Arial" w:hAnsi="Arial"/>
          <w:b w:val="0"/>
          <w:color w:val="1B2433"/>
          <w:sz w:val="22"/>
        </w:rPr>
        <w:t>Работодатели предоставляют вакансии и стажировки, проводят отбор, назначают наставников и участвуют в оценке адаптации молодых специалистов. Органы службы занятости предоставляют сведения о рынке труда и доступных мерах поддержки.</w:t>
      </w:r>
    </w:p>
    <w:p>
      <w:pPr>
        <w:pStyle w:val="Heading3"/>
      </w:pPr>
      <w:r>
        <w:t>Слайд 9. Отличие проекта от распространённых практик в России</w:t>
      </w:r>
    </w:p>
    <w:p>
      <w:r>
        <w:rPr>
          <w:rFonts w:ascii="Arial" w:hAnsi="Arial"/>
          <w:b w:val="0"/>
          <w:color w:val="1B2433"/>
          <w:sz w:val="22"/>
        </w:rPr>
        <w:t>В России уже проводится большая работа по трудоустройству выпускников: действуют центры карьеры, ярмарки вакансий, федеральные и региональные банки вакансий, программы практики и взаимодействия с работодателями. «ПрофТрек» не дублирует эту работу и не заявляет, что подобного опыта нигде нет.</w:t>
      </w:r>
    </w:p>
    <w:p>
      <w:r>
        <w:rPr>
          <w:rFonts w:ascii="Arial" w:hAnsi="Arial"/>
          <w:b w:val="0"/>
          <w:color w:val="1B2433"/>
          <w:sz w:val="22"/>
        </w:rPr>
        <w:t>Отличие проекта заключается в том, как существующие возможности соединяются в один непрерывный маршрут применительно к системе СПО ЛНР.</w:t>
      </w:r>
    </w:p>
    <w:p>
      <w:r>
        <w:rPr>
          <w:rFonts w:ascii="Arial" w:hAnsi="Arial"/>
          <w:b w:val="0"/>
          <w:color w:val="1B2433"/>
          <w:sz w:val="22"/>
        </w:rPr>
        <w:t>Во-первых, обычная работа нередко сосредоточена на информировании, мероприятиях и фиксации факта трудоустройства. В «ПрофТреке» выпускника сопровождают от выпускного курса до двенадцати месяцев после выхода на работу.</w:t>
      </w:r>
    </w:p>
    <w:p>
      <w:r>
        <w:rPr>
          <w:rFonts w:ascii="Arial" w:hAnsi="Arial"/>
          <w:b w:val="0"/>
          <w:color w:val="1B2433"/>
          <w:sz w:val="22"/>
        </w:rPr>
        <w:t>Во-вторых, оценивается не только количество трудоустроенных, но и то, сохранил ли молодой специалист работу через три, шесть и двенадцать месяцев.</w:t>
      </w:r>
    </w:p>
    <w:p>
      <w:r>
        <w:rPr>
          <w:rFonts w:ascii="Arial" w:hAnsi="Arial"/>
          <w:b w:val="0"/>
          <w:color w:val="1B2433"/>
          <w:sz w:val="22"/>
        </w:rPr>
        <w:t>В-третьих, после трудоустройства включаются наставник предприятия, адаптационная карта на девяносто дней и контрольные контакты с куратором. Это помогает предупреждать раннее увольнение, а не только фиксировать его.</w:t>
      </w:r>
    </w:p>
    <w:p>
      <w:r>
        <w:rPr>
          <w:rFonts w:ascii="Arial" w:hAnsi="Arial"/>
          <w:b w:val="0"/>
          <w:color w:val="1B2433"/>
          <w:sz w:val="22"/>
        </w:rPr>
        <w:t>В-четвёртых, проект закрепляет понятное распределение ответственности. Центр карьеры как структурное подразделение колледжа сопровождает своего выпускника. Базовый центр карьеры координирует сеть на уровне республики. Совет объединяет образование и работодателей для решения общих вопросов.</w:t>
      </w:r>
    </w:p>
    <w:p>
      <w:r>
        <w:rPr>
          <w:rFonts w:ascii="Arial" w:hAnsi="Arial"/>
          <w:b w:val="0"/>
          <w:color w:val="1B2433"/>
          <w:sz w:val="22"/>
        </w:rPr>
        <w:t>Таким образом, новизна проекта не в создании ещё одного центра или сайта. Новизна — в едином регламенте, непрерывном сопровождении и общей ответственности за конечный результат: выпускник не просто нашёл работу, а смог закрепиться в профессии.</w:t>
      </w:r>
    </w:p>
    <w:p>
      <w:pPr>
        <w:pStyle w:val="Heading3"/>
      </w:pPr>
      <w:r>
        <w:t>Слайд 10. Цифровой контур</w:t>
      </w:r>
    </w:p>
    <w:p>
      <w:r>
        <w:rPr>
          <w:rFonts w:ascii="Arial" w:hAnsi="Arial"/>
          <w:b w:val="0"/>
          <w:color w:val="1B2433"/>
          <w:sz w:val="22"/>
        </w:rPr>
        <w:t>Управлять сопровождением поможет цифровой реестр «ПрофТрек». В нём будут отражаться индивидуальные планы, вакансии, история взаимодействия и контрольные даты.</w:t>
      </w:r>
    </w:p>
    <w:p>
      <w:r>
        <w:rPr>
          <w:rFonts w:ascii="Arial" w:hAnsi="Arial"/>
          <w:b w:val="0"/>
          <w:color w:val="1B2433"/>
          <w:sz w:val="22"/>
        </w:rPr>
        <w:t>Реестр не принимает кадровых решений за человека. Его задача — не допустить потери участника между этапами, вовремя напомнить куратору о необходимом контакте и сформировать обезличенную аналитику. Доступ к данным разграничивается, а публичная отчётность не содержит персональных сведений.</w:t>
      </w:r>
    </w:p>
    <w:p>
      <w:pPr>
        <w:pStyle w:val="Heading3"/>
      </w:pPr>
      <w:r>
        <w:t>Слайд 11. Сроки</w:t>
      </w:r>
    </w:p>
    <w:p>
      <w:r>
        <w:rPr>
          <w:rFonts w:ascii="Arial" w:hAnsi="Arial"/>
          <w:b w:val="0"/>
          <w:color w:val="1B2433"/>
          <w:sz w:val="22"/>
        </w:rPr>
        <w:t>Основной этап рассчитан на двенадцать месяцев: с сентября 2026 года по август 2027 года. Сначала формируется команда, утверждается регламент и проводится входное исследование. Затем участники проходят диагностику и подготовку. С марта по август проводится основной этап трудоустройства.</w:t>
      </w:r>
    </w:p>
    <w:p>
      <w:r>
        <w:rPr>
          <w:rFonts w:ascii="Arial" w:hAnsi="Arial"/>
          <w:b w:val="0"/>
          <w:color w:val="1B2433"/>
          <w:sz w:val="22"/>
        </w:rPr>
        <w:t>Постпроектный мониторинг продолжится до августа 2028 года, чтобы оценить закрепление выпускников через двенадцать месяцев после выхода на работу.</w:t>
      </w:r>
    </w:p>
    <w:p>
      <w:pPr>
        <w:pStyle w:val="Heading3"/>
      </w:pPr>
      <w:r>
        <w:t>Слайд 12. Планируемые результаты</w:t>
      </w:r>
    </w:p>
    <w:p>
      <w:r>
        <w:rPr>
          <w:rFonts w:ascii="Arial" w:hAnsi="Arial"/>
          <w:b w:val="0"/>
          <w:color w:val="1B2433"/>
          <w:sz w:val="22"/>
        </w:rPr>
        <w:t>Сто участников пройдут диагностику и получат индивидуальные маршруты. Не менее девяноста подготовят резюме, не менее восьмидесяти пройдут тренировочное интервью. Планируется трудоустроить не менее семидесяти выпускников, из них не менее пятидесяти — по полученной или родственной специальности.</w:t>
      </w:r>
    </w:p>
    <w:p>
      <w:r>
        <w:rPr>
          <w:rFonts w:ascii="Arial" w:hAnsi="Arial"/>
          <w:b w:val="0"/>
          <w:color w:val="1B2433"/>
          <w:sz w:val="22"/>
        </w:rPr>
        <w:t>К проекту будут привлечены не менее пяти центров карьеры ПОО, двадцати работодателей и двадцати пяти наставников. В сводной базе будет размещено не менее ста актуальных вакансий и мест стажировки. Совет проведёт не менее четырёх заседаний или стратегических сессий по вопросам проекта.</w:t>
      </w:r>
    </w:p>
    <w:p>
      <w:r>
        <w:rPr>
          <w:rFonts w:ascii="Arial" w:hAnsi="Arial"/>
          <w:b w:val="0"/>
          <w:color w:val="1B2433"/>
          <w:sz w:val="22"/>
        </w:rPr>
        <w:t>Целевой показатель сохранения занятости через двенадцать месяцев — не менее семидесяти процентов участников, для которых наступила эта контрольная точка.</w:t>
      </w:r>
    </w:p>
    <w:p>
      <w:pPr>
        <w:pStyle w:val="Heading3"/>
      </w:pPr>
      <w:r>
        <w:t>Слайд 13. Ресурсы</w:t>
      </w:r>
    </w:p>
    <w:p>
      <w:r>
        <w:rPr>
          <w:rFonts w:ascii="Arial" w:hAnsi="Arial"/>
          <w:b w:val="0"/>
          <w:color w:val="1B2433"/>
          <w:sz w:val="22"/>
        </w:rPr>
        <w:t>Предварительный бюджет проекта составляет 524 тысячи 700 рублей. Средства предусмотрены на работу привлечённых экспертов, обучение наставников, методические материалы, проведение ярмарки вакансий, транспортные расходы, информационное сопровождение и поддержку цифрового реестра.</w:t>
      </w:r>
    </w:p>
    <w:p>
      <w:r>
        <w:rPr>
          <w:rFonts w:ascii="Arial" w:hAnsi="Arial"/>
          <w:b w:val="0"/>
          <w:color w:val="1B2433"/>
          <w:sz w:val="22"/>
        </w:rPr>
        <w:t>Помещения, оборудование и рабочее время штатных специалистов могут стать собственным вкладом образовательных организаций и партнёров.</w:t>
      </w:r>
    </w:p>
    <w:p>
      <w:pPr>
        <w:pStyle w:val="Heading3"/>
      </w:pPr>
      <w:r>
        <w:t>Слайд 14. Устойчивость и эффект</w:t>
      </w:r>
    </w:p>
    <w:p>
      <w:r>
        <w:rPr>
          <w:rFonts w:ascii="Arial" w:hAnsi="Arial"/>
          <w:b w:val="0"/>
          <w:color w:val="1B2433"/>
          <w:sz w:val="22"/>
        </w:rPr>
        <w:t>После пилота единый маршрут включается в постоянную работу центров карьеры. Базовый центр карьеры продолжает методическую координацию и региональный мониторинг, а Совет ежегодно рассматривает результаты и кадровые приоритеты.</w:t>
      </w:r>
    </w:p>
    <w:p>
      <w:r>
        <w:rPr>
          <w:rFonts w:ascii="Arial" w:hAnsi="Arial"/>
          <w:b w:val="0"/>
          <w:color w:val="1B2433"/>
          <w:sz w:val="22"/>
        </w:rPr>
        <w:t>В системе сохранятся база работодателей, цифровой реестр, формы сопровождения, подготовленные наставники и единый регламент. Модель можно будет тиражировать в других профессиональных образовательных организациях ЛНР.</w:t>
      </w:r>
    </w:p>
    <w:p>
      <w:r>
        <w:rPr>
          <w:rFonts w:ascii="Arial" w:hAnsi="Arial"/>
          <w:b w:val="0"/>
          <w:color w:val="1B2433"/>
          <w:sz w:val="22"/>
        </w:rPr>
        <w:t>Социальный эффект проекта — снижение молодёжной безработицы и ранних увольнений, повышение профессиональной уверенности выпускников и обеспечение предприятий молодыми кадрами.</w:t>
      </w:r>
    </w:p>
    <w:p>
      <w:r>
        <w:rPr>
          <w:rFonts w:ascii="Arial" w:hAnsi="Arial"/>
          <w:b w:val="0"/>
          <w:color w:val="1B2433"/>
          <w:sz w:val="22"/>
        </w:rPr>
        <w:t>Для нас важно, чтобы результатом обучения был не только диплом и не только факт трудоустройства. Настоящий результат — молодой специалист, который вошёл в профессию, успешно прошёл период адаптации и видит возможности дальнейшего развития.</w:t>
      </w:r>
    </w:p>
    <w:p>
      <w:r>
        <w:rPr>
          <w:rFonts w:ascii="Arial" w:hAnsi="Arial"/>
          <w:b w:val="0"/>
          <w:color w:val="1B2433"/>
          <w:sz w:val="22"/>
        </w:rPr>
        <w:t>«ПрофТрек» — это маршрут от диплома к устойчивой профессиональной жизни.</w:t>
      </w:r>
    </w:p>
    <w:p>
      <w:r>
        <w:rPr>
          <w:rFonts w:ascii="Arial" w:hAnsi="Arial"/>
          <w:b w:val="0"/>
          <w:color w:val="1B2433"/>
          <w:sz w:val="22"/>
        </w:rPr>
        <w:t>Благодарю за внимание!</w:t>
      </w:r>
    </w:p>
    <w:p>
      <w:pPr>
        <w:pStyle w:val="Heading2"/>
      </w:pPr>
      <w:r>
        <w:t>Ответы на возможные вопросы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Чем проект отличается от обычной работы центра карьеры?</w:t>
      </w:r>
    </w:p>
    <w:p>
      <w:r>
        <w:rPr>
          <w:rFonts w:ascii="Arial" w:hAnsi="Arial"/>
          <w:b w:val="0"/>
          <w:color w:val="1B2433"/>
          <w:sz w:val="22"/>
        </w:rPr>
        <w:t>Центр карьеры колледжа уже помогает своим студентам и выпускникам. Проект не заменяет эту работу, а объединяет центры карьеры в согласованную региональную систему, добавляет единый маршрут, наставничество на предприятии и сопровождение до 12 месяцев после трудоустройства.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Чем проект отличается от работы, которая уже ведётся в России?</w:t>
      </w:r>
    </w:p>
    <w:p>
      <w:r>
        <w:rPr>
          <w:rFonts w:ascii="Arial" w:hAnsi="Arial"/>
          <w:b w:val="0"/>
          <w:color w:val="1B2433"/>
          <w:sz w:val="22"/>
        </w:rPr>
        <w:t>Проект использует существующие российские практики центров карьеры, ярмарок вакансий и сотрудничества с работодателями, но соединяет их в единый маршрут для системы СПО ЛНР. Главный акцент сделан не только на факте трудоустройства, но и на закреплении выпускника через 3, 6 и 12 месяцев, наставничестве и предупреждении раннего увольнения.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Что такое центр карьеры и Базовый центр карьеры?</w:t>
      </w:r>
    </w:p>
    <w:p>
      <w:r>
        <w:rPr>
          <w:rFonts w:ascii="Arial" w:hAnsi="Arial"/>
          <w:b w:val="0"/>
          <w:color w:val="1B2433"/>
          <w:sz w:val="22"/>
        </w:rPr>
        <w:t>Центр карьеры — структурное подразделение техникума или колледжа, которое работает со студентами и выпускниками своей организации. Базовый центр карьеры — региональный координатор сети: он помогает центрам карьеры едиными материалами, базой партнёров, обучением и сводной аналитикой, но не подменяет их работу.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Как будет подтверждаться трудоустройство?</w:t>
      </w:r>
    </w:p>
    <w:p>
      <w:r>
        <w:rPr>
          <w:rFonts w:ascii="Arial" w:hAnsi="Arial"/>
          <w:b w:val="0"/>
          <w:color w:val="1B2433"/>
          <w:sz w:val="22"/>
        </w:rPr>
        <w:t>С согласия участника факт занятости подтверждается допустимым документом или сведениями работодателя. В сводной отчётности используются только обезличенные данные.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Что произойдёт, если выпускник уволится?</w:t>
      </w:r>
    </w:p>
    <w:p>
      <w:r>
        <w:rPr>
          <w:rFonts w:ascii="Arial" w:hAnsi="Arial"/>
          <w:b w:val="0"/>
          <w:color w:val="1B2433"/>
          <w:sz w:val="22"/>
        </w:rPr>
        <w:t>Команда выяснит причины и предложит консультацию, урегулирование затруднений или подбор нового места по специальности. Увольнение не означает автоматического прекращения сопровождения.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Как будет обеспечена заинтересованность работодателей?</w:t>
      </w:r>
    </w:p>
    <w:p>
      <w:r>
        <w:rPr>
          <w:rFonts w:ascii="Arial" w:hAnsi="Arial"/>
          <w:b w:val="0"/>
          <w:color w:val="1B2433"/>
          <w:sz w:val="22"/>
        </w:rPr>
        <w:t>Работодатель получает подготовленных кандидатов, единый канал взаимодействия с системой СПО, поддержку наставников и возможность влиять на содержание подготовки через обратную связь.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Как проект продолжит работу после завершения финансирования?</w:t>
      </w:r>
    </w:p>
    <w:p>
      <w:r>
        <w:rPr>
          <w:rFonts w:ascii="Arial" w:hAnsi="Arial"/>
          <w:b w:val="0"/>
          <w:color w:val="1B2433"/>
          <w:sz w:val="22"/>
        </w:rPr>
        <w:t>Основные функции закрепляются в планах центров карьеры и Базового центра карьеры. Созданные формы, реестр, база партнёров и методические материалы используются для следующих выпусков.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8196"/>
        <w:sz w:val="16"/>
      </w:rPr>
      <w:t>Кулешова Виктория Геннадьевна  •  ЛНР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D66B3"/>
        <w:sz w:val="16"/>
      </w:rPr>
      <w:t>ПРОФТРЕК  |  ОТ ДИПЛОМА К ПРОФЕССИИ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B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23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