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2D66B3"/>
          <w:sz w:val="24"/>
        </w:rPr>
        <w:t>СОЦИАЛЬНЫЙ ПРОЕКТ</w:t>
      </w:r>
    </w:p>
    <w:p>
      <w:pPr>
        <w:jc w:val="center"/>
      </w:pPr>
      <w:r>
        <w:rPr>
          <w:rFonts w:ascii="Arial" w:hAnsi="Arial"/>
          <w:b/>
          <w:color w:val="17233B"/>
          <w:sz w:val="60"/>
        </w:rPr>
        <w:t>ПрофТрек</w:t>
      </w:r>
    </w:p>
    <w:p>
      <w:pPr>
        <w:jc w:val="center"/>
      </w:pPr>
      <w:r>
        <w:rPr>
          <w:rFonts w:ascii="Arial" w:hAnsi="Arial"/>
          <w:b/>
          <w:color w:val="2D66B3"/>
          <w:sz w:val="26"/>
        </w:rPr>
        <w:t>ОТ ДИПЛОМА К ПРОФЕССИИ</w:t>
      </w:r>
    </w:p>
    <w:p>
      <w:pPr>
        <w:spacing w:before="280"/>
        <w:jc w:val="center"/>
      </w:pPr>
      <w:r>
        <w:rPr>
          <w:rFonts w:ascii="Arial" w:hAnsi="Arial"/>
          <w:color w:val="1B2433"/>
          <w:sz w:val="28"/>
        </w:rPr>
        <w:t>Система подготовки и трудоустройства выпускников СПО</w:t>
        <w:br/>
        <w:t>для закрытия кадровой потребности экономики региона</w:t>
      </w:r>
    </w:p>
    <w:p/>
    <w:p/>
    <w:p/>
    <w:p/>
    <w:p>
      <w:pPr>
        <w:spacing w:after="60"/>
        <w:jc w:val="center"/>
      </w:pPr>
      <w:r>
        <w:rPr>
          <w:rFonts w:ascii="Arial" w:hAnsi="Arial"/>
          <w:color w:val="1B2433"/>
          <w:sz w:val="22"/>
        </w:rPr>
        <w:t>Руководитель: Кулешова Виктория Геннадьевна</w:t>
      </w:r>
    </w:p>
    <w:p>
      <w:pPr>
        <w:spacing w:after="60"/>
        <w:jc w:val="center"/>
      </w:pPr>
      <w:r>
        <w:rPr>
          <w:rFonts w:ascii="Arial" w:hAnsi="Arial"/>
          <w:color w:val="758196"/>
          <w:sz w:val="22"/>
        </w:rPr>
        <w:t>Организация: [наименование организации-заявителя]</w:t>
      </w:r>
    </w:p>
    <w:p>
      <w:pPr>
        <w:spacing w:after="60"/>
        <w:jc w:val="center"/>
      </w:pPr>
      <w:r>
        <w:rPr>
          <w:rFonts w:ascii="Arial" w:hAnsi="Arial"/>
          <w:color w:val="1B2433"/>
          <w:sz w:val="22"/>
        </w:rPr>
        <w:t>При участии Базового центра карьеры Минобрнауки ЛНР и Совета по социальному партнёрству в сфере занятости молодёжи</w:t>
      </w:r>
    </w:p>
    <w:p>
      <w:pPr>
        <w:spacing w:after="60"/>
        <w:jc w:val="center"/>
      </w:pPr>
      <w:r>
        <w:rPr>
          <w:rFonts w:ascii="Arial" w:hAnsi="Arial"/>
          <w:color w:val="1B2433"/>
          <w:sz w:val="22"/>
        </w:rPr>
        <w:t>Луганская Народная Республика</w:t>
      </w:r>
    </w:p>
    <w:p>
      <w:pPr>
        <w:spacing w:after="60"/>
        <w:jc w:val="center"/>
      </w:pPr>
      <w:r>
        <w:rPr>
          <w:rFonts w:ascii="Arial" w:hAnsi="Arial"/>
          <w:color w:val="1B2433"/>
          <w:sz w:val="22"/>
        </w:rPr>
        <w:t>2026</w:t>
      </w:r>
    </w:p>
    <w:p>
      <w:r>
        <w:br w:type="page"/>
      </w:r>
    </w:p>
    <w:p>
      <w:pPr>
        <w:pStyle w:val="Heading2"/>
      </w:pPr>
      <w:r>
        <w:t>«ПрофТрек: от диплома к профессии»</w:t>
      </w:r>
    </w:p>
    <w:p>
      <w:pPr>
        <w:pStyle w:val="Heading3"/>
      </w:pPr>
      <w:r>
        <w:t>Система подготовки и трудоустройства выпускников СПО для закрытия кадровой потребности экономики региона</w:t>
      </w:r>
    </w:p>
    <w:p>
      <w:r>
        <w:rPr>
          <w:rFonts w:ascii="Arial" w:hAnsi="Arial"/>
          <w:b/>
          <w:color w:val="1B2433"/>
          <w:sz w:val="22"/>
        </w:rPr>
        <w:t>Территория реализации:</w:t>
      </w:r>
      <w:r>
        <w:rPr>
          <w:rFonts w:ascii="Arial" w:hAnsi="Arial"/>
          <w:b w:val="0"/>
          <w:color w:val="1B2433"/>
          <w:sz w:val="22"/>
        </w:rPr>
        <w:t xml:space="preserve"> Луганская Народная Республика</w:t>
      </w:r>
    </w:p>
    <w:p>
      <w:r>
        <w:rPr>
          <w:rFonts w:ascii="Arial" w:hAnsi="Arial"/>
          <w:b/>
          <w:color w:val="1B2433"/>
          <w:sz w:val="22"/>
        </w:rPr>
        <w:t>Основной срок реализации:</w:t>
      </w:r>
      <w:r>
        <w:rPr>
          <w:rFonts w:ascii="Arial" w:hAnsi="Arial"/>
          <w:b w:val="0"/>
          <w:color w:val="1B2433"/>
          <w:sz w:val="22"/>
        </w:rPr>
        <w:t xml:space="preserve"> сентябрь 2026 года — август 2027 года</w:t>
      </w:r>
    </w:p>
    <w:p>
      <w:r>
        <w:rPr>
          <w:rFonts w:ascii="Arial" w:hAnsi="Arial"/>
          <w:b/>
          <w:color w:val="1B2433"/>
          <w:sz w:val="22"/>
        </w:rPr>
        <w:t>Постпроектный мониторинг:</w:t>
      </w:r>
      <w:r>
        <w:rPr>
          <w:rFonts w:ascii="Arial" w:hAnsi="Arial"/>
          <w:b w:val="0"/>
          <w:color w:val="1B2433"/>
          <w:sz w:val="22"/>
        </w:rPr>
        <w:t xml:space="preserve"> до августа 2028 года</w:t>
      </w:r>
    </w:p>
    <w:p>
      <w:r>
        <w:rPr>
          <w:rFonts w:ascii="Arial" w:hAnsi="Arial"/>
          <w:b/>
          <w:color w:val="1B2433"/>
          <w:sz w:val="22"/>
        </w:rPr>
        <w:t>Организация-заявитель:</w:t>
      </w:r>
      <w:r>
        <w:rPr>
          <w:rFonts w:ascii="Arial" w:hAnsi="Arial"/>
          <w:b w:val="0"/>
          <w:color w:val="1B2433"/>
          <w:sz w:val="22"/>
        </w:rPr>
        <w:t xml:space="preserve"> [наименование организации-заявителя]</w:t>
      </w:r>
    </w:p>
    <w:p>
      <w:r>
        <w:rPr>
          <w:rFonts w:ascii="Arial" w:hAnsi="Arial"/>
          <w:b/>
          <w:color w:val="1B2433"/>
          <w:sz w:val="22"/>
        </w:rPr>
        <w:t>Региональный координатор:</w:t>
      </w:r>
      <w:r>
        <w:rPr>
          <w:rFonts w:ascii="Arial" w:hAnsi="Arial"/>
          <w:b w:val="0"/>
          <w:color w:val="1B2433"/>
          <w:sz w:val="22"/>
        </w:rPr>
        <w:t xml:space="preserve"> Базовый центр карьеры Министерства образования и науки Луганской Народной Республики</w:t>
      </w:r>
    </w:p>
    <w:p>
      <w:r>
        <w:rPr>
          <w:rFonts w:ascii="Arial" w:hAnsi="Arial"/>
          <w:b/>
          <w:color w:val="1B2433"/>
          <w:sz w:val="22"/>
        </w:rPr>
        <w:t>Стратегический партнёр:</w:t>
      </w:r>
      <w:r>
        <w:rPr>
          <w:rFonts w:ascii="Arial" w:hAnsi="Arial"/>
          <w:b w:val="0"/>
          <w:color w:val="1B2433"/>
          <w:sz w:val="22"/>
        </w:rPr>
        <w:t xml:space="preserve"> Совет по социальному партнёрству в сфере занятости молодёжи</w:t>
      </w:r>
    </w:p>
    <w:p>
      <w:r>
        <w:rPr>
          <w:rFonts w:ascii="Arial" w:hAnsi="Arial"/>
          <w:b/>
          <w:color w:val="1B2433"/>
          <w:sz w:val="22"/>
        </w:rPr>
        <w:t>Руководитель проекта:</w:t>
      </w:r>
      <w:r>
        <w:rPr>
          <w:rFonts w:ascii="Arial" w:hAnsi="Arial"/>
          <w:b w:val="0"/>
          <w:color w:val="1B2433"/>
          <w:sz w:val="22"/>
        </w:rPr>
        <w:t xml:space="preserve"> Кулешова Виктория Геннадьевна</w:t>
      </w:r>
    </w:p>
    <w:p>
      <w:r>
        <w:rPr>
          <w:rFonts w:ascii="Arial" w:hAnsi="Arial"/>
          <w:b/>
          <w:color w:val="1B2433"/>
          <w:sz w:val="22"/>
        </w:rPr>
        <w:t>Команда проекта:</w:t>
      </w:r>
      <w:r>
        <w:rPr>
          <w:rFonts w:ascii="Arial" w:hAnsi="Arial"/>
          <w:b w:val="0"/>
          <w:color w:val="1B2433"/>
          <w:sz w:val="22"/>
        </w:rPr>
        <w:t xml:space="preserve"> специалисты центров карьеры техникумов и колледжей, Базового центра карьеры, педагог-психолог, кураторы групп, мастера производственного обучения, представители Совета, работодателей и наставники на предприятиях</w:t>
      </w:r>
    </w:p>
    <w:p>
      <w:pPr>
        <w:pStyle w:val="Heading2"/>
      </w:pPr>
      <w:r>
        <w:t>1. Краткая аннотация</w:t>
      </w:r>
    </w:p>
    <w:p>
      <w:r>
        <w:rPr>
          <w:rFonts w:ascii="Arial" w:hAnsi="Arial"/>
          <w:b w:val="0"/>
          <w:color w:val="1B2433"/>
          <w:sz w:val="22"/>
        </w:rPr>
        <w:t>«ПрофТрек» — социальный проект по подготовке и сопровождению студентов выпускных курсов и выпускников профессиональных образовательных организаций для их трудоустройства на востребованные рабочие места и устойчивого закрепления на предприятиях Луганской Народной Республики.</w:t>
      </w:r>
    </w:p>
    <w:p>
      <w:r>
        <w:rPr>
          <w:rFonts w:ascii="Arial" w:hAnsi="Arial"/>
          <w:b w:val="0"/>
          <w:color w:val="1B2433"/>
          <w:sz w:val="22"/>
        </w:rPr>
        <w:t>Проект объединяет центры карьеры техникумов и колледжей, Базовый центр карьеры Министерства образования и науки ЛНР, Совет по социальному партнёрству в сфере занятости молодёжи, работодателей и органы службы занятости в единую региональную систему. Работодатели передают сведения о кадровой потребности, система СПО соотносит их с профессиями и компетенциями выпускников, а центры карьеры выстраивают адресные маршруты к конкретным рабочим местам. Маршрут включает диагностику, подготовку, подбор вакансии, собеседование, трудоустройство, наставничество и сопровождение в течение первого года работы.</w:t>
      </w:r>
    </w:p>
    <w:p>
      <w:r>
        <w:rPr>
          <w:rFonts w:ascii="Arial" w:hAnsi="Arial"/>
          <w:b w:val="0"/>
          <w:color w:val="1B2433"/>
          <w:sz w:val="22"/>
        </w:rPr>
        <w:t>Особое внимание уделяется выпускникам, находящимся под риском нетрудоустройства или раннего увольнения: лицам без опыта работы, обучающимся с инвалидностью и ОВЗ, сиротам и оставшимся без попечения родителей, молодым родителям, выпускникам из удалённых территорий, а также участникам, испытывающим трудности в общении и профессиональной адаптации.</w:t>
      </w:r>
    </w:p>
    <w:p>
      <w:r>
        <w:rPr>
          <w:rFonts w:ascii="Arial" w:hAnsi="Arial"/>
          <w:b w:val="0"/>
          <w:color w:val="1B2433"/>
          <w:sz w:val="22"/>
        </w:rPr>
        <w:t>Ключевой результат проекта — закрытие реальной кадровой потребности предприятий региона выпускниками СПО, которые успешно входят в профессию и сохраняют занятость.</w:t>
      </w:r>
    </w:p>
    <w:p>
      <w:pPr>
        <w:pStyle w:val="Heading2"/>
      </w:pPr>
      <w:r>
        <w:t>2. Паспорт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vAlign w:val="center"/>
            <w:shd w:fill="17233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5043"/>
            <w:vAlign w:val="center"/>
            <w:shd w:fill="17233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Содержание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Название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«ПрофТрек: от диплома к профессии»</w:t>
            </w:r>
          </w:p>
        </w:tc>
      </w:tr>
      <w:tr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Направление</w:t>
            </w:r>
          </w:p>
        </w:tc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Кадровое обеспечение экономики региона, содействие занятости молодёжи и профессиональная адаптация выпускников СПО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Проблема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Кадровая потребность предприятий региона и профессиональный потенциал выпускников СПО недостаточно связаны единым механизмом подбора, трудоустройства и закрепления</w:t>
            </w:r>
          </w:p>
        </w:tc>
      </w:tr>
      <w:tr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Целевая группа</w:t>
            </w:r>
          </w:p>
        </w:tc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Студенты выпускных курсов и выпускники СПО в возрасте преимущественно от 18 до 25 лет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Цель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Содействовать закрытию кадровой потребности экономики ЛНР посредством адресной подготовки, трудоустройства и закрепления выпускников СПО на востребованных рабочих местах предприятий региона</w:t>
            </w:r>
          </w:p>
        </w:tc>
      </w:tr>
      <w:tr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Срок</w:t>
            </w:r>
          </w:p>
        </w:tc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основной этап — 12 месяцев: сентябрь 2026 года — август 2027 года; постпроектный мониторинг — до августа 2028 года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География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Луганская Народная Республика; пилот проводится на базе участвующих техникумов и колледжей</w:t>
            </w:r>
          </w:p>
        </w:tc>
      </w:tr>
      <w:tr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Участники пилота</w:t>
            </w:r>
          </w:p>
        </w:tc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100 студентов выпускных курсов и выпускников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Региональный координатор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Базовый центр карьеры Министерства образования и науки ЛНР</w:t>
            </w:r>
          </w:p>
        </w:tc>
      </w:tr>
      <w:tr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Стратегический партнёр</w:t>
            </w:r>
          </w:p>
        </w:tc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Совет по социальному партнёрству в сфере занятости молодёжи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Исполнители на местах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Центры карьеры техникумов и колледжей ЛНР</w:t>
            </w:r>
          </w:p>
        </w:tc>
      </w:tr>
      <w:tr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Партнёры</w:t>
            </w:r>
          </w:p>
        </w:tc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Предприятия и организации, органы службы занятости, молодёжные и общественные организации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Основной продукт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Система индивидуальных профессиональных маршрутов и цифровой реестр сопровождения «ПрофТрек»</w:t>
            </w:r>
          </w:p>
        </w:tc>
      </w:tr>
      <w:tr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Период сопровождения</w:t>
            </w:r>
          </w:p>
        </w:tc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От выпускного курса до 12 месяцев после трудоустройства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Ключевой эффект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Сокращение разрыва между потребностью работодателей в кадрах и выходом подготовленных выпускников на предприятия региона</w:t>
            </w:r>
          </w:p>
        </w:tc>
      </w:tr>
    </w:tbl>
    <w:p/>
    <w:p>
      <w:pPr>
        <w:pStyle w:val="Heading2"/>
      </w:pPr>
      <w:r>
        <w:t>3. Актуальность и социальная значимость</w:t>
      </w:r>
    </w:p>
    <w:p>
      <w:r>
        <w:rPr>
          <w:rFonts w:ascii="Arial" w:hAnsi="Arial"/>
          <w:b w:val="0"/>
          <w:color w:val="1B2433"/>
          <w:sz w:val="22"/>
        </w:rPr>
        <w:t>Переход от обучения к трудовой деятельности является уязвимым этапом для молодого специалиста. Даже при наличии диплома и профессиональных навыков выпускник может не владеть технологиями поиска работы, испытывать тревогу перед собеседованием, иметь завышенные или неопределённые ожидания, не знать правил деловой коммуникации и не понимать требований конкретного предприятия.</w:t>
      </w:r>
    </w:p>
    <w:p>
      <w:r>
        <w:rPr>
          <w:rFonts w:ascii="Arial" w:hAnsi="Arial"/>
          <w:b w:val="0"/>
          <w:color w:val="1B2433"/>
          <w:sz w:val="22"/>
        </w:rPr>
        <w:t>После трудоустройства возникают новые риски: несоответствие ожиданий реальным условиям труда, сложность взаимодействия с коллективом, страх ошибок, недостаток практического опыта, отсутствие наставника, трудности с режимом работы и производственной дисциплиной. Если выпускник остаётся без поддержки, такие трудности могут привести к увольнению в первые месяцы и последующему уходу из профессии.</w:t>
      </w:r>
    </w:p>
    <w:p>
      <w:r>
        <w:rPr>
          <w:rFonts w:ascii="Arial" w:hAnsi="Arial"/>
          <w:b w:val="0"/>
          <w:color w:val="1B2433"/>
          <w:sz w:val="22"/>
        </w:rPr>
        <w:t>Одновременно предприятия региона испытывают потребность в квалифицированных кадрах. Информация о необходимых профессиях, количестве работников, требованиях и сроках трудоустройства не всегда своевременно доходит до выпускников и центров карьеры. В результате у работодателя сохраняются незакрытые вакансии, а выпускник может остаться без работы или трудоустроиться не по полученной специальности.</w:t>
      </w:r>
    </w:p>
    <w:p>
      <w:r>
        <w:rPr>
          <w:rFonts w:ascii="Arial" w:hAnsi="Arial"/>
          <w:b w:val="0"/>
          <w:color w:val="1B2433"/>
          <w:sz w:val="22"/>
        </w:rPr>
        <w:t>Проект решает эту проблему через непрерывный маршрут «кадровая заявка работодателя — Базовый центр карьеры и Совет — центр карьеры ПОО — выпускник — рабочее место — закрепление». Работодатель получает подготовленного молодого специалиста, выпускник — понятный путь к востребованной работе, образовательная организация — обратную связь для совершенствования подготовки, а регион — механизм закрытия кадровой потребности силами выпускников СПО.</w:t>
      </w:r>
    </w:p>
    <w:p>
      <w:pPr>
        <w:pStyle w:val="Heading2"/>
      </w:pPr>
      <w:r>
        <w:t>4. Проблема проекта</w:t>
      </w:r>
    </w:p>
    <w:p>
      <w:r>
        <w:rPr>
          <w:rFonts w:ascii="Arial" w:hAnsi="Arial"/>
          <w:b w:val="0"/>
          <w:color w:val="1B2433"/>
          <w:sz w:val="22"/>
        </w:rPr>
        <w:t>Основная проблема: при наличии кадровой потребности предприятий часть выпускников СПО не выходит на соответствующие рабочие места либо не удерживается на них из-за несогласованности кадрового заказа, подготовки, подбора и сопровождения.</w:t>
      </w:r>
    </w:p>
    <w:p>
      <w:pPr>
        <w:pStyle w:val="Heading3"/>
      </w:pPr>
      <w:r>
        <w:t>Причины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отсутствие практического опыта поиска работы;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неумение составить резюме и представить свои компетенции;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недостаточная информированность о вакансиях и требованиях работодателей;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расхождение ожиданий выпускника и реальных условий труда;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тревожность, низкая самостоятельность и слабые навыки делового общения;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отсутствие наставника и понятного плана адаптации на предприятии;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недостаточная связь колледжа с выпускником после трудоустройства;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отсутствие единого учёта трудовых маршрутов и факторов риска.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отсутствие сводной и регулярно обновляемой картины кадровой потребности работодателей;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недостаточное сопоставление вакансий с профессиями, компетенциями и готовностью конкретных выпускников.</w:t>
      </w:r>
    </w:p>
    <w:p>
      <w:pPr>
        <w:pStyle w:val="Heading3"/>
      </w:pPr>
      <w:r>
        <w:t>Последствия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молодёжная безработица и занятость не по специальности;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увольнение в период испытательного срока или первого года работы;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потеря выпускником профессиональной мотивации;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кадровый дефицит у работодателей;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неэффективное использование ресурсов системы профессионального образования.</w:t>
      </w:r>
    </w:p>
    <w:p>
      <w:r>
        <w:rPr>
          <w:rFonts w:ascii="Arial" w:hAnsi="Arial"/>
          <w:b w:val="0"/>
          <w:color w:val="1B2433"/>
          <w:sz w:val="22"/>
        </w:rPr>
        <w:t>Перед началом проекта проводится входное исследование: анкетирование выпускников, интервью с работодателями и анализ данных о трудоустройстве за предыдущие 2–3 года. Полученные значения становятся базовыми для оценки результатов.</w:t>
      </w:r>
    </w:p>
    <w:p>
      <w:pPr>
        <w:pStyle w:val="Heading2"/>
      </w:pPr>
      <w:r>
        <w:t>5. Цель и задачи</w:t>
      </w:r>
    </w:p>
    <w:p>
      <w:pPr>
        <w:pStyle w:val="Heading3"/>
      </w:pPr>
      <w:r>
        <w:t>Цель</w:t>
      </w:r>
    </w:p>
    <w:p>
      <w:r>
        <w:rPr>
          <w:rFonts w:ascii="Arial" w:hAnsi="Arial"/>
          <w:b w:val="0"/>
          <w:color w:val="1B2433"/>
          <w:sz w:val="22"/>
        </w:rPr>
        <w:t>Создать и апробировать систему закрытия кадровой потребности экономики ЛНР посредством адресной подготовки, трудоустройства и сопровождения не менее 100 студентов выпускных курсов и выпускников СПО до устойчивого закрепления на предприятиях региона.</w:t>
      </w:r>
    </w:p>
    <w:p>
      <w:pPr>
        <w:pStyle w:val="Heading3"/>
      </w:pPr>
      <w:r>
        <w:t>Задачи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Сформировать и регулярно актуализировать сводную кадровую потребность работодателей-партнёров.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Сопоставить кадровые заявки предприятий с профессиями, компетенциями и профессиональными планами выпускников.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Повысить готовность выпускников к прохождению отбора и работе на востребованных предприятиями местах.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Сформировать устойчивую сеть работодателей, предлагающих вакансии, стажировки и наставничество.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Обеспечить адресный подбор вакансий по заявленной кадровой потребности и сопровождение трудоустройства.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Организовать адаптацию выпускника на первом рабочем месте совместно с наставником предприятия.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Проводить мониторинг занятости и закрытия кадровых заявок на контрольных точках 1, 3, 6 и 12 месяцев.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Анализировать причины незакрытия вакансий, отказов и увольнений и передавать рекомендации системе СПО и работодателям.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Отработать единый регламент взаимодействия центров карьеры, Базового центра карьеры и Совета по социальному партнёрству в сфере занятости молодёжи.</w:t>
      </w:r>
    </w:p>
    <w:p>
      <w:pPr>
        <w:pStyle w:val="Heading2"/>
      </w:pPr>
      <w:r>
        <w:t>6. Целевая аудитория</w:t>
      </w:r>
    </w:p>
    <w:p>
      <w:pPr>
        <w:pStyle w:val="Heading3"/>
      </w:pPr>
      <w:r>
        <w:t>Основная целевая группа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100 студентов выпускных курсов и выпускников профессиональных образовательных организаций;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выпускники, впервые выходящие на рынок труда;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выпускники, не трудоустроенные либо работающие не по специальности;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молодые специалисты, находящиеся на испытательном сроке или в первый год работы.</w:t>
      </w:r>
    </w:p>
    <w:p>
      <w:pPr>
        <w:pStyle w:val="Heading3"/>
      </w:pPr>
      <w:r>
        <w:t>Границы проекта</w:t>
      </w:r>
    </w:p>
    <w:p>
      <w:r>
        <w:rPr>
          <w:rFonts w:ascii="Arial" w:hAnsi="Arial"/>
          <w:b w:val="0"/>
          <w:color w:val="1B2433"/>
          <w:sz w:val="22"/>
        </w:rPr>
        <w:t>«ПрофТрек» является специализированной системой исключительно для выпускников СПО. Студенты включаются в проект на выпускном курсе как будущие выпускники, чтобы к моменту получения диплома иметь согласованный маршрут на конкретное рабочее место. Другие категории граждан участниками проекта не являются.</w:t>
      </w:r>
    </w:p>
    <w:p>
      <w:r>
        <w:rPr>
          <w:rFonts w:ascii="Arial" w:hAnsi="Arial"/>
          <w:b w:val="0"/>
          <w:color w:val="1B2433"/>
          <w:sz w:val="22"/>
        </w:rPr>
        <w:t>Такой подход связан с назначением среднего профессионального образования: освоенная профессия или специальность должна обеспечивать выпускнику выход на квалифицированное рабочее место, а экономике региона — подготовленного работника по востребованному направлению. Поэтому в проекте отслеживается связь «профессия или специальность — кадровая заявка предприятия — трудоустройство — закрепление».</w:t>
      </w:r>
    </w:p>
    <w:p>
      <w:r>
        <w:rPr>
          <w:rFonts w:ascii="Arial" w:hAnsi="Arial"/>
          <w:b w:val="0"/>
          <w:color w:val="1B2433"/>
          <w:sz w:val="22"/>
        </w:rPr>
        <w:t>Органы службы занятости работают со всеми категориями граждан и оказывают государственные услуги в сфере занятости. «ПрофТрек» не заменяет и не дублирует их функции. Служба занятости участвует как партнёр, предоставляя сведения о рынке труда, актуальных вакансиях и доступных мерах поддержки, а специализированное сопровождение выпускников СПО осуществляют центры карьеры техникумов и колледжей.</w:t>
      </w:r>
    </w:p>
    <w:p>
      <w:pPr>
        <w:pStyle w:val="Heading3"/>
      </w:pPr>
      <w:r>
        <w:t>Приоритетные группы сопровождения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выпускники с инвалидностью и ограниченными возможностями здоровья;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дети-сироты и лица, оставшиеся без попечения родителей;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молодые люди из малообеспеченных семей и удалённых территорий;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молодые родители;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выпускники с низкой мотивацией, высокой тревожностью или риском отчисления;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участники, не имеющие поддержки семьи и профессионального окружения.</w:t>
      </w:r>
    </w:p>
    <w:p>
      <w:pPr>
        <w:pStyle w:val="Heading3"/>
      </w:pPr>
      <w:r>
        <w:t>Косвенные благополучатели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работодатели и наставники;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семьи выпускников;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педагогические коллективы;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региональная экономика и система СПО.</w:t>
      </w:r>
    </w:p>
    <w:p>
      <w:pPr>
        <w:pStyle w:val="Heading2"/>
      </w:pPr>
      <w:r>
        <w:t>7. Механизм реализации</w:t>
      </w:r>
    </w:p>
    <w:p>
      <w:r>
        <w:rPr>
          <w:rFonts w:ascii="Arial" w:hAnsi="Arial"/>
          <w:b w:val="0"/>
          <w:color w:val="1B2433"/>
          <w:sz w:val="22"/>
        </w:rPr>
        <w:t>Профессиональный маршрут участника включает семь последовательных этапов:</w:t>
      </w:r>
    </w:p>
    <w:p>
      <w:pPr>
        <w:jc w:val="center"/>
      </w:pPr>
      <w:r>
        <w:rPr>
          <w:rFonts w:ascii="Arial" w:hAnsi="Arial"/>
          <w:b/>
          <w:color w:val="1B2433"/>
          <w:sz w:val="22"/>
        </w:rPr>
        <w:t>регистрация → диагностика → подготовка → подбор вакансии → трудоустройство → адаптация → закрепление.</w:t>
      </w:r>
    </w:p>
    <w:p>
      <w:pPr>
        <w:pStyle w:val="Heading3"/>
      </w:pPr>
      <w:r>
        <w:t>Этап 1. Регистрация и диагностика</w:t>
      </w:r>
    </w:p>
    <w:p>
      <w:r>
        <w:rPr>
          <w:rFonts w:ascii="Arial" w:hAnsi="Arial"/>
          <w:b w:val="0"/>
          <w:color w:val="1B2433"/>
          <w:sz w:val="22"/>
        </w:rPr>
        <w:t>Участник заполняет анкету, проходит карьерную диагностику и беседу с куратором. Оцениваются профессиональные интересы, готовность к работе, мобильность, имеющийся опыт, навыки самопрезентации и факторы риска. По итогам присваивается уровень сопровождения: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низкий риск — достаточно информационной поддержки;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средний риск — требуется регулярная помощь куратора;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высокий риск — необходим индивидуальный межведомственный маршрут.</w:t>
      </w:r>
    </w:p>
    <w:p>
      <w:pPr>
        <w:pStyle w:val="Heading3"/>
      </w:pPr>
      <w:r>
        <w:t>Этап 2. Индивидуальный профессиональный маршрут</w:t>
      </w:r>
    </w:p>
    <w:p>
      <w:r>
        <w:rPr>
          <w:rFonts w:ascii="Arial" w:hAnsi="Arial"/>
          <w:b w:val="0"/>
          <w:color w:val="1B2433"/>
          <w:sz w:val="22"/>
        </w:rPr>
        <w:t>Куратор вместе с участником формирует план, содержащий цель трудоустройства, желаемую должность, перечень компетенций для развития, подходящие предприятия, сроки откликов и меры поддержки. План пересматривается не реже одного раза в месяц до трудоустройства.</w:t>
      </w:r>
    </w:p>
    <w:p>
      <w:pPr>
        <w:pStyle w:val="Heading3"/>
      </w:pPr>
      <w:r>
        <w:t>Этап 3. Подготовка к трудоустройству</w:t>
      </w:r>
    </w:p>
    <w:p>
      <w:r>
        <w:rPr>
          <w:rFonts w:ascii="Arial" w:hAnsi="Arial"/>
          <w:b w:val="0"/>
          <w:color w:val="1B2433"/>
          <w:sz w:val="22"/>
        </w:rPr>
        <w:t>Участники проходят практические занятия: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составление резюме и сопроводительного письма;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поиск и проверка вакансий;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тренировочное собеседование;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деловое общение и телефонные переговоры;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основы трудового законодательства;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финансовая грамотность молодого работника;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правила поведения в коллективе и разрешение конфликтов;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самопрезентация профессиональных навыков.</w:t>
      </w:r>
    </w:p>
    <w:p>
      <w:r>
        <w:rPr>
          <w:rFonts w:ascii="Arial" w:hAnsi="Arial"/>
          <w:b w:val="0"/>
          <w:color w:val="1B2433"/>
          <w:sz w:val="22"/>
        </w:rPr>
        <w:t>Каждый участник получает готовое резюме и проходит не менее одного тренировочного интервью.</w:t>
      </w:r>
    </w:p>
    <w:p>
      <w:pPr>
        <w:pStyle w:val="Heading3"/>
      </w:pPr>
      <w:r>
        <w:t>Этап 4. Взаимодействие с работодателями</w:t>
      </w:r>
    </w:p>
    <w:p>
      <w:r>
        <w:rPr>
          <w:rFonts w:ascii="Arial" w:hAnsi="Arial"/>
          <w:b w:val="0"/>
          <w:color w:val="1B2433"/>
          <w:sz w:val="22"/>
        </w:rPr>
        <w:t>Центры карьеры ПОО собирают заявки и ведут выпускников, а Базовый центр карьеры формирует сводную региональную базу партнёров, вакансий и стажировок. Совет по социальному партнёрству помогает привлекать работодателей, согласовывать кадровые запросы и устранять системные барьеры. С работодателями согласуются: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реальные требования к кандидатам;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возможность трудоустройства без опыта;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прохождение практики с последующим трудоустройством;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назначение наставника;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адаптационный план на первые три месяца;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порядок обратной связи с колледжем.</w:t>
      </w:r>
    </w:p>
    <w:p>
      <w:r>
        <w:rPr>
          <w:rFonts w:ascii="Arial" w:hAnsi="Arial"/>
          <w:b w:val="0"/>
          <w:color w:val="1B2433"/>
          <w:sz w:val="22"/>
        </w:rPr>
        <w:t>Проводятся дни карьеры, экскурсии, профессиональные пробы, встречи с молодыми специалистами и собеседования на площадке колледжа.</w:t>
      </w:r>
    </w:p>
    <w:p>
      <w:pPr>
        <w:pStyle w:val="Heading3"/>
      </w:pPr>
      <w:r>
        <w:t>Этап 5. Трудоустройство</w:t>
      </w:r>
    </w:p>
    <w:p>
      <w:r>
        <w:rPr>
          <w:rFonts w:ascii="Arial" w:hAnsi="Arial"/>
          <w:b w:val="0"/>
          <w:color w:val="1B2433"/>
          <w:sz w:val="22"/>
        </w:rPr>
        <w:t>Куратор помогает подобрать вакансии, направить резюме, подготовиться к собеседованию и оценить предложение работодателя. После приёма на работу в цифровом реестре фиксируются должность, соответствие полученной специальности, дата трудоустройства и назначенный наставник.</w:t>
      </w:r>
    </w:p>
    <w:p>
      <w:pPr>
        <w:pStyle w:val="Heading3"/>
      </w:pPr>
      <w:r>
        <w:t>Этап 6. Адаптация на рабочем месте</w:t>
      </w:r>
    </w:p>
    <w:p>
      <w:r>
        <w:rPr>
          <w:rFonts w:ascii="Arial" w:hAnsi="Arial"/>
          <w:b w:val="0"/>
          <w:color w:val="1B2433"/>
          <w:sz w:val="22"/>
        </w:rPr>
        <w:t>Для молодого специалиста и работодателя формируется адаптационная карта на 90 дней: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первая неделя — знакомство с рабочим местом, коллективом, правилами и техникой безопасности;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первый месяц — освоение базовых операций под контролем наставника;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второй месяц — самостоятельное выполнение типовых задач;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третий месяц — оценка результатов, устранение дефицитов и согласование дальнейшего развития.</w:t>
      </w:r>
    </w:p>
    <w:p>
      <w:r>
        <w:rPr>
          <w:rFonts w:ascii="Arial" w:hAnsi="Arial"/>
          <w:b w:val="0"/>
          <w:color w:val="1B2433"/>
          <w:sz w:val="22"/>
        </w:rPr>
        <w:t>Куратор связывается с выпускником и наставником через 7 дней, 1 месяц и 3 месяца после выхода на работу. При возникновении риска увольнения организуется совместная консультация.</w:t>
      </w:r>
    </w:p>
    <w:p>
      <w:pPr>
        <w:pStyle w:val="Heading3"/>
      </w:pPr>
      <w:r>
        <w:t>Этап 7. Закрепление и постсопровождение</w:t>
      </w:r>
    </w:p>
    <w:p>
      <w:r>
        <w:rPr>
          <w:rFonts w:ascii="Arial" w:hAnsi="Arial"/>
          <w:b w:val="0"/>
          <w:color w:val="1B2433"/>
          <w:sz w:val="22"/>
        </w:rPr>
        <w:t>Контроль занятости проводится через 6 и 12 месяцев. Выпускник может получить консультацию психолога, помощь в разрешении конфликта, дополнительное обучение или подбор нового места без разрыва профессионального маршрута.</w:t>
      </w:r>
    </w:p>
    <w:p>
      <w:r>
        <w:rPr>
          <w:rFonts w:ascii="Arial" w:hAnsi="Arial"/>
          <w:b w:val="0"/>
          <w:color w:val="1B2433"/>
          <w:sz w:val="22"/>
        </w:rPr>
        <w:t>Закрепившимся считается выпускник, который через установленный срок продолжает работать у первого работодателя либо совершил согласованный переход к другому работодателю по полученной или родственной профессии без длительного периода безработицы.</w:t>
      </w:r>
    </w:p>
    <w:p>
      <w:pPr>
        <w:pStyle w:val="Heading2"/>
      </w:pPr>
      <w:r>
        <w:t>8. Основные мероприятия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2017"/>
            <w:vAlign w:val="center"/>
            <w:shd w:fill="17233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2017"/>
            <w:vAlign w:val="center"/>
            <w:shd w:fill="17233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Мероприятие</w:t>
            </w:r>
          </w:p>
        </w:tc>
        <w:tc>
          <w:tcPr>
            <w:tcW w:type="dxa" w:w="2017"/>
            <w:vAlign w:val="center"/>
            <w:shd w:fill="17233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017"/>
            <w:vAlign w:val="center"/>
            <w:shd w:fill="17233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Ответственный</w:t>
            </w:r>
          </w:p>
        </w:tc>
        <w:tc>
          <w:tcPr>
            <w:tcW w:type="dxa" w:w="2017"/>
            <w:vAlign w:val="center"/>
            <w:shd w:fill="17233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1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Формирование команды и распределение ролей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сентябрь 2026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руководитель проекта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утверждён состав команды</w:t>
            </w:r>
          </w:p>
        </w:tc>
      </w:tr>
      <w:tr>
        <w:tc>
          <w:tcPr>
            <w:tcW w:type="dxa" w:w="2017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2</w:t>
            </w:r>
          </w:p>
        </w:tc>
        <w:tc>
          <w:tcPr>
            <w:tcW w:type="dxa" w:w="2017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Входное анкетирование и анализ данных прошлых выпусков</w:t>
            </w:r>
          </w:p>
        </w:tc>
        <w:tc>
          <w:tcPr>
            <w:tcW w:type="dxa" w:w="2017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сентябрь 2026</w:t>
            </w:r>
          </w:p>
        </w:tc>
        <w:tc>
          <w:tcPr>
            <w:tcW w:type="dxa" w:w="2017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аналитик, психолог</w:t>
            </w:r>
          </w:p>
        </w:tc>
        <w:tc>
          <w:tcPr>
            <w:tcW w:type="dxa" w:w="2017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определены базовые значения и риски</w:t>
            </w:r>
          </w:p>
        </w:tc>
      </w:tr>
      <w:tr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3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Утверждение регламента межведомственного взаимодействия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сентябрь 2026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Базовый центр карьеры, Совет, руководитель проекта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определены роли, сроки и единые формы данных</w:t>
            </w:r>
          </w:p>
        </w:tc>
      </w:tr>
      <w:tr>
        <w:tc>
          <w:tcPr>
            <w:tcW w:type="dxa" w:w="2017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4</w:t>
            </w:r>
          </w:p>
        </w:tc>
        <w:tc>
          <w:tcPr>
            <w:tcW w:type="dxa" w:w="2017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Набор и регистрация 100 участников</w:t>
            </w:r>
          </w:p>
        </w:tc>
        <w:tc>
          <w:tcPr>
            <w:tcW w:type="dxa" w:w="2017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сентябрь–октябрь 2026</w:t>
            </w:r>
          </w:p>
        </w:tc>
        <w:tc>
          <w:tcPr>
            <w:tcW w:type="dxa" w:w="2017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центры карьеры ПОО</w:t>
            </w:r>
          </w:p>
        </w:tc>
        <w:tc>
          <w:tcPr>
            <w:tcW w:type="dxa" w:w="2017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сформирован реестр участников</w:t>
            </w:r>
          </w:p>
        </w:tc>
      </w:tr>
      <w:tr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5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Индивидуальная диагностика и маршрутизация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октябрь–ноябрь 2026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психолог, карьерный консультант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100 индивидуальных маршрутов</w:t>
            </w:r>
          </w:p>
        </w:tc>
      </w:tr>
      <w:tr>
        <w:tc>
          <w:tcPr>
            <w:tcW w:type="dxa" w:w="2017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6</w:t>
            </w:r>
          </w:p>
        </w:tc>
        <w:tc>
          <w:tcPr>
            <w:tcW w:type="dxa" w:w="2017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Цикл из 8 карьерных тренингов</w:t>
            </w:r>
          </w:p>
        </w:tc>
        <w:tc>
          <w:tcPr>
            <w:tcW w:type="dxa" w:w="2017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ноябрь 2026 — февраль 2027</w:t>
            </w:r>
          </w:p>
        </w:tc>
        <w:tc>
          <w:tcPr>
            <w:tcW w:type="dxa" w:w="2017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центры карьеры ПОО</w:t>
            </w:r>
          </w:p>
        </w:tc>
        <w:tc>
          <w:tcPr>
            <w:tcW w:type="dxa" w:w="2017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участники подготовлены к поиску работы</w:t>
            </w:r>
          </w:p>
        </w:tc>
      </w:tr>
      <w:tr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7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Не менее 50 тренировочных собеседований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январь–март 2027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HR-специалисты партнёров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отработаны навыки самопрезентации</w:t>
            </w:r>
          </w:p>
        </w:tc>
      </w:tr>
      <w:tr>
        <w:tc>
          <w:tcPr>
            <w:tcW w:type="dxa" w:w="2017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8</w:t>
            </w:r>
          </w:p>
        </w:tc>
        <w:tc>
          <w:tcPr>
            <w:tcW w:type="dxa" w:w="2017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Привлечение не менее 20 работодателей</w:t>
            </w:r>
          </w:p>
        </w:tc>
        <w:tc>
          <w:tcPr>
            <w:tcW w:type="dxa" w:w="2017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сентябрь 2026 — март 2027</w:t>
            </w:r>
          </w:p>
        </w:tc>
        <w:tc>
          <w:tcPr>
            <w:tcW w:type="dxa" w:w="2017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Базовый центр карьеры, Совет</w:t>
            </w:r>
          </w:p>
        </w:tc>
        <w:tc>
          <w:tcPr>
            <w:tcW w:type="dxa" w:w="2017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создана партнёрская сеть</w:t>
            </w:r>
          </w:p>
        </w:tc>
      </w:tr>
      <w:tr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9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Экскурсии и профессиональные пробы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ноябрь 2026 — апрель 2027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центры карьеры ПОО, работодатели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не менее 6 выездных мероприятий</w:t>
            </w:r>
          </w:p>
        </w:tc>
      </w:tr>
      <w:tr>
        <w:tc>
          <w:tcPr>
            <w:tcW w:type="dxa" w:w="2017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10</w:t>
            </w:r>
          </w:p>
        </w:tc>
        <w:tc>
          <w:tcPr>
            <w:tcW w:type="dxa" w:w="2017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Стратегические сессии по кадровой потребности</w:t>
            </w:r>
          </w:p>
        </w:tc>
        <w:tc>
          <w:tcPr>
            <w:tcW w:type="dxa" w:w="2017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ежеквартально</w:t>
            </w:r>
          </w:p>
        </w:tc>
        <w:tc>
          <w:tcPr>
            <w:tcW w:type="dxa" w:w="2017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Совет, Базовый центр карьеры</w:t>
            </w:r>
          </w:p>
        </w:tc>
        <w:tc>
          <w:tcPr>
            <w:tcW w:type="dxa" w:w="2017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не менее 4 заседаний с решениями и ответственными</w:t>
            </w:r>
          </w:p>
        </w:tc>
      </w:tr>
      <w:tr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11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Ярмарка вакансий «Первое рабочее место»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март–апрель 2027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Базовый центр карьеры, центры карьеры ПОО, Совет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не менее 15 работодателей и 80 участников</w:t>
            </w:r>
          </w:p>
        </w:tc>
      </w:tr>
      <w:tr>
        <w:tc>
          <w:tcPr>
            <w:tcW w:type="dxa" w:w="2017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12</w:t>
            </w:r>
          </w:p>
        </w:tc>
        <w:tc>
          <w:tcPr>
            <w:tcW w:type="dxa" w:w="2017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Подбор вакансий и сопровождение собеседований</w:t>
            </w:r>
          </w:p>
        </w:tc>
        <w:tc>
          <w:tcPr>
            <w:tcW w:type="dxa" w:w="2017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январь–июнь 2027</w:t>
            </w:r>
          </w:p>
        </w:tc>
        <w:tc>
          <w:tcPr>
            <w:tcW w:type="dxa" w:w="2017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центры карьеры ПОО</w:t>
            </w:r>
          </w:p>
        </w:tc>
        <w:tc>
          <w:tcPr>
            <w:tcW w:type="dxa" w:w="2017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адресные направления на вакансии</w:t>
            </w:r>
          </w:p>
        </w:tc>
      </w:tr>
      <w:tr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13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Подготовка наставников предприятий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март–май 2027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Базовый центр карьеры, работодатели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не менее 25 наставников</w:t>
            </w:r>
          </w:p>
        </w:tc>
      </w:tr>
      <w:tr>
        <w:tc>
          <w:tcPr>
            <w:tcW w:type="dxa" w:w="2017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14</w:t>
            </w:r>
          </w:p>
        </w:tc>
        <w:tc>
          <w:tcPr>
            <w:tcW w:type="dxa" w:w="2017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Трудоустройство участников</w:t>
            </w:r>
          </w:p>
        </w:tc>
        <w:tc>
          <w:tcPr>
            <w:tcW w:type="dxa" w:w="2017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март–август 2027</w:t>
            </w:r>
          </w:p>
        </w:tc>
        <w:tc>
          <w:tcPr>
            <w:tcW w:type="dxa" w:w="2017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центры карьеры ПОО, работодатели</w:t>
            </w:r>
          </w:p>
        </w:tc>
        <w:tc>
          <w:tcPr>
            <w:tcW w:type="dxa" w:w="2017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не менее 70 трудоустроенных</w:t>
            </w:r>
          </w:p>
        </w:tc>
      </w:tr>
      <w:tr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15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Сопровождение на рабочем месте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в течение 12 месяцев после выхода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куратор, наставник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контроль адаптации и профилактика увольнений</w:t>
            </w:r>
          </w:p>
        </w:tc>
      </w:tr>
      <w:tr>
        <w:tc>
          <w:tcPr>
            <w:tcW w:type="dxa" w:w="2017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16</w:t>
            </w:r>
          </w:p>
        </w:tc>
        <w:tc>
          <w:tcPr>
            <w:tcW w:type="dxa" w:w="2017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Итоговая оценка и подготовка методических рекомендаций</w:t>
            </w:r>
          </w:p>
        </w:tc>
        <w:tc>
          <w:tcPr>
            <w:tcW w:type="dxa" w:w="2017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август 2027, далее по контрольным точкам</w:t>
            </w:r>
          </w:p>
        </w:tc>
        <w:tc>
          <w:tcPr>
            <w:tcW w:type="dxa" w:w="2017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Базовый центр карьеры, Совет, аналитик</w:t>
            </w:r>
          </w:p>
        </w:tc>
        <w:tc>
          <w:tcPr>
            <w:tcW w:type="dxa" w:w="2017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итоговый отчёт и модель тиражирования</w:t>
            </w:r>
          </w:p>
        </w:tc>
      </w:tr>
    </w:tbl>
    <w:p/>
    <w:p>
      <w:pPr>
        <w:pStyle w:val="Heading2"/>
      </w:pPr>
      <w:r>
        <w:t>9. Календарный план</w:t>
      </w:r>
    </w:p>
    <w:p>
      <w:pPr>
        <w:pStyle w:val="Heading3"/>
      </w:pPr>
      <w:r>
        <w:t>Подготовительный этап: сентябрь–октябрь 2026 года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создание проектной команды;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утверждение локальных документов и форм согласия на обработку данных;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анализ трудоустройства прошлых выпусков;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набор участников и работодателей;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настройка цифрового реестра.</w:t>
      </w:r>
    </w:p>
    <w:p>
      <w:pPr>
        <w:pStyle w:val="Heading3"/>
      </w:pPr>
      <w:r>
        <w:t>Диагностический этап: октябрь–ноябрь 2026 года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анкетирование и индивидуальные консультации;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определение уровня риска;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разработка индивидуальных профессиональных маршрутов;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формирование групп по потребностям.</w:t>
      </w:r>
    </w:p>
    <w:p>
      <w:pPr>
        <w:pStyle w:val="Heading3"/>
      </w:pPr>
      <w:r>
        <w:t>Обучающий этап: ноябрь 2026 года — март 2027 года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карьерные тренинги;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подготовка резюме;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тренировочные интервью;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встречи и экскурсии на предприятия;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подготовка наставников.</w:t>
      </w:r>
    </w:p>
    <w:p>
      <w:pPr>
        <w:pStyle w:val="Heading3"/>
      </w:pPr>
      <w:r>
        <w:t>Этап трудоустройства: март–август 2027 года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ярмарка вакансий;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подбор предложений;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стажировки и собеседования;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заключение трудовых договоров;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запуск адаптационных карт.</w:t>
      </w:r>
    </w:p>
    <w:p>
      <w:pPr>
        <w:pStyle w:val="Heading3"/>
      </w:pPr>
      <w:r>
        <w:t>Этап закрепления: с момента трудоустройства до 12 месяцев работы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мониторинг на 7-й день, через 1, 3, 6 и 12 месяцев;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консультации выпускника и наставника;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профилактика конфликтов и раннего увольнения;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фиксация итогов маршрута.</w:t>
      </w:r>
    </w:p>
    <w:p>
      <w:pPr>
        <w:pStyle w:val="Heading2"/>
      </w:pPr>
      <w:r>
        <w:t>10. Управление проектом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vAlign w:val="center"/>
            <w:shd w:fill="17233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5043"/>
            <w:vAlign w:val="center"/>
            <w:shd w:fill="17233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Функции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Руководитель проекта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общее управление, взаимодействие с органами власти и партнёрами, контроль сроков и результатов</w:t>
            </w:r>
          </w:p>
        </w:tc>
      </w:tr>
      <w:tr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Базовый центр карьеры Министерства образования и науки ЛНР</w:t>
            </w:r>
          </w:p>
        </w:tc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региональная координация, единый регламент, сводная база вакансий, методическая поддержка центров карьеры, агрегированный мониторинг и тиражирование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Совет по социальному партнёрству в сфере занятости молодёжи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согласование приоритетов, привлечение работодателей, обсуждение кадровой потребности, снятие межведомственных барьеров и рассмотрение итогов</w:t>
            </w:r>
          </w:p>
        </w:tc>
      </w:tr>
      <w:tr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Центры карьеры техникумов и колледжей</w:t>
            </w:r>
          </w:p>
        </w:tc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набор участников, диагностика, ведение индивидуальных маршрутов, подбор вакансий, сопровождение и первичный мониторинг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Карьерный консультант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подготовка резюме, тренинги, подбор вакансий, сопровождение собеседований</w:t>
            </w:r>
          </w:p>
        </w:tc>
      </w:tr>
      <w:tr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Педагог-психолог</w:t>
            </w:r>
          </w:p>
        </w:tc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диагностика, работа с тревожностью, поддержка адаптации и разрешение конфликтов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Менеджер по работодателям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привлечение партнёров, сбор вакансий, координация наставников</w:t>
            </w:r>
          </w:p>
        </w:tc>
      </w:tr>
      <w:tr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Аналитик/администратор реестра</w:t>
            </w:r>
          </w:p>
        </w:tc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учёт участников, мониторинг показателей, отчётность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Куратор выпускника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регулярная связь, контроль индивидуального плана, помощь при риске увольнения</w:t>
            </w:r>
          </w:p>
        </w:tc>
      </w:tr>
      <w:tr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Наставник предприятия</w:t>
            </w:r>
          </w:p>
        </w:tc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введение в должность, обучение на рабочем месте, обратная связь</w:t>
            </w:r>
          </w:p>
        </w:tc>
      </w:tr>
    </w:tbl>
    <w:p/>
    <w:p>
      <w:r>
        <w:rPr>
          <w:rFonts w:ascii="Arial" w:hAnsi="Arial"/>
          <w:b w:val="0"/>
          <w:color w:val="1B2433"/>
          <w:sz w:val="22"/>
        </w:rPr>
        <w:t>Оперативная проектная команда проводит рабочее совещание не реже одного раза в месяц. Базовый центр карьеры ежемесячно формирует обезличенную сводку, а Совет ежеквартально рассматривает динамику показателей, кадровые запросы и решения, требующие участия нескольких организаций. Случаи высокого риска рассматриваются оперативно с соблюдением конфиденциальности.</w:t>
      </w:r>
    </w:p>
    <w:p>
      <w:pPr>
        <w:pStyle w:val="Heading2"/>
      </w:pPr>
      <w:r>
        <w:t>11. Цифровой инструмент «ПрофТрек»</w:t>
      </w:r>
    </w:p>
    <w:p>
      <w:r>
        <w:rPr>
          <w:rFonts w:ascii="Arial" w:hAnsi="Arial"/>
          <w:b w:val="0"/>
          <w:color w:val="1B2433"/>
          <w:sz w:val="22"/>
        </w:rPr>
        <w:t>Для управления проектом используется цифровой реестр, позволяющий: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вести карточки выпускников и индивидуальные планы;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фиксировать уровень риска и историю сопровождения;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хранить базу работодателей, вакансий и стажировок;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подбирать вакансии по специальности и условиям;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контролировать этапы маршрута;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формировать напоминания о контрольных контактах;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видеть долю трудоустроенных и закрепившихся;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формировать обезличенные аналитические отчёты.</w:t>
      </w:r>
    </w:p>
    <w:p>
      <w:r>
        <w:rPr>
          <w:rFonts w:ascii="Arial" w:hAnsi="Arial"/>
          <w:b w:val="0"/>
          <w:color w:val="1B2433"/>
          <w:sz w:val="22"/>
        </w:rPr>
        <w:t>Доступ разграничивается по ролям. Персональные данные обрабатываются только на законном основании и в объёме, необходимом для сопровождения. Публичные отчёты формируются в обезличенном виде.</w:t>
      </w:r>
    </w:p>
    <w:p>
      <w:pPr>
        <w:pStyle w:val="Heading2"/>
      </w:pPr>
      <w:r>
        <w:t>12. Партнёрская модель</w:t>
      </w:r>
    </w:p>
    <w:p>
      <w:pPr>
        <w:pStyle w:val="Heading3"/>
      </w:pPr>
      <w:r>
        <w:t>Центры карьеры техникумов и колледжей</w:t>
      </w:r>
    </w:p>
    <w:p>
      <w:r>
        <w:rPr>
          <w:rFonts w:ascii="Arial" w:hAnsi="Arial"/>
          <w:b w:val="0"/>
          <w:color w:val="1B2433"/>
          <w:sz w:val="22"/>
        </w:rPr>
        <w:t>Выявляют участников, назначают кураторов, ведут индивидуальные маршруты, организуют подготовку к трудоустройству и обеспечивают контакт с выпускником на всех контрольных точках.</w:t>
      </w:r>
    </w:p>
    <w:p>
      <w:pPr>
        <w:pStyle w:val="Heading3"/>
      </w:pPr>
      <w:r>
        <w:t>Базовый центр карьеры Министерства образования и науки ЛНР</w:t>
      </w:r>
    </w:p>
    <w:p>
      <w:r>
        <w:rPr>
          <w:rFonts w:ascii="Arial" w:hAnsi="Arial"/>
          <w:b w:val="0"/>
          <w:color w:val="1B2433"/>
          <w:sz w:val="22"/>
        </w:rPr>
        <w:t>Координирует сеть центров карьеры, ведёт сводную базу проверенных вакансий и партнёров, обеспечивает единые формы и методические материалы, обучает специалистов, собирает обезличенную аналитику и готовит предложения по тиражированию проекта.</w:t>
      </w:r>
    </w:p>
    <w:p>
      <w:pPr>
        <w:pStyle w:val="Heading3"/>
      </w:pPr>
      <w:r>
        <w:t>Совет по социальному партнёрству в сфере занятости молодёжи</w:t>
      </w:r>
    </w:p>
    <w:p>
      <w:r>
        <w:rPr>
          <w:rFonts w:ascii="Arial" w:hAnsi="Arial"/>
          <w:b w:val="0"/>
          <w:color w:val="1B2433"/>
          <w:sz w:val="22"/>
        </w:rPr>
        <w:t>Выступает площадкой согласования интересов образования, работодателей и других участников рынка труда, содействует привлечению предприятий, рассматривает системные затруднения и утверждает рекомендации по повышению занятости выпускников.</w:t>
      </w:r>
    </w:p>
    <w:p>
      <w:pPr>
        <w:pStyle w:val="Heading3"/>
      </w:pPr>
      <w:r>
        <w:t>Работодатель</w:t>
      </w:r>
    </w:p>
    <w:p>
      <w:r>
        <w:rPr>
          <w:rFonts w:ascii="Arial" w:hAnsi="Arial"/>
          <w:b w:val="0"/>
          <w:color w:val="1B2433"/>
          <w:sz w:val="22"/>
        </w:rPr>
        <w:t>Предоставляет достоверную информацию о вакансии, проводит отбор, назначает наставника, участвует в оценке адаптации и сообщает о возникающих трудностях.</w:t>
      </w:r>
    </w:p>
    <w:p>
      <w:pPr>
        <w:pStyle w:val="Heading3"/>
      </w:pPr>
      <w:r>
        <w:t>Служба занятости</w:t>
      </w:r>
    </w:p>
    <w:p>
      <w:r>
        <w:rPr>
          <w:rFonts w:ascii="Arial" w:hAnsi="Arial"/>
          <w:b w:val="0"/>
          <w:color w:val="1B2433"/>
          <w:sz w:val="22"/>
        </w:rPr>
        <w:t>Работает со всеми категориями граждан и предоставляет сведения о рынке труда, вакансиях и мерах государственной поддержки. В рамках проекта выступает партнёром, но не подменяет специализированную работу центров карьеры с выпускниками СПО.</w:t>
      </w:r>
    </w:p>
    <w:p>
      <w:pPr>
        <w:pStyle w:val="Heading3"/>
      </w:pPr>
      <w:r>
        <w:t>Органы управления образованием</w:t>
      </w:r>
    </w:p>
    <w:p>
      <w:r>
        <w:rPr>
          <w:rFonts w:ascii="Arial" w:hAnsi="Arial"/>
          <w:b w:val="0"/>
          <w:color w:val="1B2433"/>
          <w:sz w:val="22"/>
        </w:rPr>
        <w:t>Обеспечивают координацию, методическую поддержку и возможность тиражирования практики.</w:t>
      </w:r>
    </w:p>
    <w:p>
      <w:pPr>
        <w:pStyle w:val="Heading3"/>
      </w:pPr>
      <w:r>
        <w:t>Молодёжные и общественные организации</w:t>
      </w:r>
    </w:p>
    <w:p>
      <w:r>
        <w:rPr>
          <w:rFonts w:ascii="Arial" w:hAnsi="Arial"/>
          <w:b w:val="0"/>
          <w:color w:val="1B2433"/>
          <w:sz w:val="22"/>
        </w:rPr>
        <w:t>Помогают в информировании, мотивации участников и поддержке уязвимых групп.</w:t>
      </w:r>
    </w:p>
    <w:p>
      <w:r>
        <w:rPr>
          <w:rFonts w:ascii="Arial" w:hAnsi="Arial"/>
          <w:b w:val="0"/>
          <w:color w:val="1B2433"/>
          <w:sz w:val="22"/>
        </w:rPr>
        <w:t>Взаимодействие закрепляется соглашением, в котором определяются ответственные лица, формы обмена информацией и обязательства по сопровождению молодого специалиста.</w:t>
      </w:r>
    </w:p>
    <w:p>
      <w:pPr>
        <w:pStyle w:val="Heading2"/>
      </w:pPr>
      <w:r>
        <w:t>13. Планируемые результаты</w:t>
      </w:r>
    </w:p>
    <w:p>
      <w:pPr>
        <w:pStyle w:val="Heading3"/>
      </w:pPr>
      <w:r>
        <w:t>Количественные результаты пилота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vAlign w:val="center"/>
            <w:shd w:fill="17233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5043"/>
            <w:vAlign w:val="center"/>
            <w:shd w:fill="17233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Плановое значение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Зарегистрировано участников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не менее 100 человек</w:t>
            </w:r>
          </w:p>
        </w:tc>
      </w:tr>
      <w:tr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Прошли профессиональную диагностику</w:t>
            </w:r>
          </w:p>
        </w:tc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не менее 100 человек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Получили индивидуальный маршрут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не менее 100 человек</w:t>
            </w:r>
          </w:p>
        </w:tc>
      </w:tr>
      <w:tr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Подготовили резюме</w:t>
            </w:r>
          </w:p>
        </w:tc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не менее 90 человек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Прошли тренировочное собеседование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не менее 80 человек</w:t>
            </w:r>
          </w:p>
        </w:tc>
      </w:tr>
      <w:tr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Приняли участие в собеседовании у работодателя</w:t>
            </w:r>
          </w:p>
        </w:tc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не менее 75 человек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Трудоустроены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не менее 70 человек</w:t>
            </w:r>
          </w:p>
        </w:tc>
      </w:tr>
      <w:tr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Трудоустроены по полученной или родственной специальности</w:t>
            </w:r>
          </w:p>
        </w:tc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не менее 50 человек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Сохранили занятость через 3 месяца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не менее 60 человек и не менее 85% участников, достигших контрольной точки</w:t>
            </w:r>
          </w:p>
        </w:tc>
      </w:tr>
      <w:tr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Сохранили занятость через 6 месяцев</w:t>
            </w:r>
          </w:p>
        </w:tc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не менее 56 человек и не менее 80% участников, достигших контрольной точки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Сохранили занятость через 12 месяцев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не менее 49 человек и не менее 70% участников, достигших контрольной точки</w:t>
            </w:r>
          </w:p>
        </w:tc>
      </w:tr>
      <w:tr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Работодатели-партнёры</w:t>
            </w:r>
          </w:p>
        </w:tc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не менее 20 организаций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Подготовленные наставники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не менее 25 человек</w:t>
            </w:r>
          </w:p>
        </w:tc>
      </w:tr>
      <w:tr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Центры карьеры ПОО, участвующие в едином регламенте</w:t>
            </w:r>
          </w:p>
        </w:tc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не менее 5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Заседания/стратегические сессии Совета по вопросам проекта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не менее 4</w:t>
            </w:r>
          </w:p>
        </w:tc>
      </w:tr>
      <w:tr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Актуальные вакансии и места стажировки в сводной базе</w:t>
            </w:r>
          </w:p>
        </w:tc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не менее 100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Выпускники, трудоустроенные на вакансии предприятий региона по заявленной кадровой потребности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не менее 50 человек</w:t>
            </w:r>
          </w:p>
        </w:tc>
      </w:tr>
      <w:tr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Кадровые заявки работодателей, по которым организован адресный подбор кандидатов</w:t>
            </w:r>
          </w:p>
        </w:tc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не менее 70</w:t>
            </w:r>
          </w:p>
        </w:tc>
      </w:tr>
    </w:tbl>
    <w:p/>
    <w:p>
      <w:pPr>
        <w:pStyle w:val="Heading3"/>
      </w:pPr>
      <w:r>
        <w:t>Качественные результаты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участники увереннее проходят собеседования и оценивают вакансии;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снижается тревожность при выходе на первое рабочее место;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у молодых специалистов формируются навыки профессионального общения;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работодатели получают понятный механизм адаптации начинающих работников;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колледж получает данные о причинах отказов и увольнений;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усиливается практическое взаимодействие системы СПО с рынком труда.</w:t>
      </w:r>
    </w:p>
    <w:p>
      <w:r>
        <w:rPr>
          <w:rFonts w:ascii="Arial" w:hAnsi="Arial"/>
          <w:b w:val="0"/>
          <w:color w:val="1B2433"/>
          <w:sz w:val="22"/>
        </w:rPr>
        <w:t>Плановые значения уточняются после входного исследования и утверждения базового уровня.</w:t>
      </w:r>
    </w:p>
    <w:p>
      <w:pPr>
        <w:pStyle w:val="Heading2"/>
      </w:pPr>
      <w:r>
        <w:t>14. Показатели эффективности и оценка</w:t>
      </w:r>
    </w:p>
    <w:p>
      <w:pPr>
        <w:pStyle w:val="Heading3"/>
      </w:pPr>
      <w:r>
        <w:t>Основные показатели</w:t>
      </w:r>
    </w:p>
    <w:p>
      <w:pPr>
        <w:pStyle w:val="ListNumber"/>
      </w:pPr>
      <w:r>
        <w:rPr>
          <w:rFonts w:ascii="Arial" w:hAnsi="Arial"/>
          <w:b/>
          <w:color w:val="1B2433"/>
          <w:sz w:val="22"/>
        </w:rPr>
        <w:t>Доля трудоустроенных участников:</w:t>
      </w:r>
      <w:r>
        <w:rPr>
          <w:rFonts w:ascii="Arial" w:hAnsi="Arial"/>
          <w:b w:val="0"/>
          <w:color w:val="1B2433"/>
          <w:sz w:val="22"/>
        </w:rPr>
        <w:t xml:space="preserve"> число трудоустроенных / число завершивших обучение и готовых к трудовой деятельности × 100%.</w:t>
      </w:r>
    </w:p>
    <w:p>
      <w:pPr>
        <w:pStyle w:val="ListNumber"/>
      </w:pPr>
      <w:r>
        <w:rPr>
          <w:rFonts w:ascii="Arial" w:hAnsi="Arial"/>
          <w:b/>
          <w:color w:val="1B2433"/>
          <w:sz w:val="22"/>
        </w:rPr>
        <w:t>Доля трудоустроенных по специальности:</w:t>
      </w:r>
      <w:r>
        <w:rPr>
          <w:rFonts w:ascii="Arial" w:hAnsi="Arial"/>
          <w:b w:val="0"/>
          <w:color w:val="1B2433"/>
          <w:sz w:val="22"/>
        </w:rPr>
        <w:t xml:space="preserve"> число работающих по полученной или родственной профессии / число трудоустроенных × 100%.</w:t>
      </w:r>
    </w:p>
    <w:p>
      <w:pPr>
        <w:pStyle w:val="ListNumber"/>
      </w:pPr>
      <w:r>
        <w:rPr>
          <w:rFonts w:ascii="Arial" w:hAnsi="Arial"/>
          <w:b/>
          <w:color w:val="1B2433"/>
          <w:sz w:val="22"/>
        </w:rPr>
        <w:t>Закрепляемость через 3, 6 и 12 месяцев:</w:t>
      </w:r>
      <w:r>
        <w:rPr>
          <w:rFonts w:ascii="Arial" w:hAnsi="Arial"/>
          <w:b w:val="0"/>
          <w:color w:val="1B2433"/>
          <w:sz w:val="22"/>
        </w:rPr>
        <w:t xml:space="preserve"> число сохранивших занятость на соответствующей контрольной точке / число участников, для которых наступила эта контрольная точка, × 100%.</w:t>
      </w:r>
    </w:p>
    <w:p>
      <w:pPr>
        <w:pStyle w:val="ListNumber"/>
      </w:pPr>
      <w:r>
        <w:rPr>
          <w:rFonts w:ascii="Arial" w:hAnsi="Arial"/>
          <w:b/>
          <w:color w:val="1B2433"/>
          <w:sz w:val="22"/>
        </w:rPr>
        <w:t>Доля ранних увольнений:</w:t>
      </w:r>
      <w:r>
        <w:rPr>
          <w:rFonts w:ascii="Arial" w:hAnsi="Arial"/>
          <w:b w:val="0"/>
          <w:color w:val="1B2433"/>
          <w:sz w:val="22"/>
        </w:rPr>
        <w:t xml:space="preserve"> число прекративших работу в первые три месяца / число трудоустроенных × 100%.</w:t>
      </w:r>
    </w:p>
    <w:p>
      <w:pPr>
        <w:pStyle w:val="ListNumber"/>
      </w:pPr>
      <w:r>
        <w:rPr>
          <w:rFonts w:ascii="Arial" w:hAnsi="Arial"/>
          <w:b/>
          <w:color w:val="1B2433"/>
          <w:sz w:val="22"/>
        </w:rPr>
        <w:t>Доля участников высокого риска, получивших адресную помощь:</w:t>
      </w:r>
      <w:r>
        <w:rPr>
          <w:rFonts w:ascii="Arial" w:hAnsi="Arial"/>
          <w:b w:val="0"/>
          <w:color w:val="1B2433"/>
          <w:sz w:val="22"/>
        </w:rPr>
        <w:t xml:space="preserve"> число участников высокого риска с выполненным планом поддержки / общее число участников высокого риска × 100%.</w:t>
      </w:r>
    </w:p>
    <w:p>
      <w:pPr>
        <w:pStyle w:val="ListNumber"/>
      </w:pPr>
      <w:r>
        <w:rPr>
          <w:rFonts w:ascii="Arial" w:hAnsi="Arial"/>
          <w:b/>
          <w:color w:val="1B2433"/>
          <w:sz w:val="22"/>
        </w:rPr>
        <w:t>Удовлетворённость выпускников и работодателей:</w:t>
      </w:r>
      <w:r>
        <w:rPr>
          <w:rFonts w:ascii="Arial" w:hAnsi="Arial"/>
          <w:b w:val="0"/>
          <w:color w:val="1B2433"/>
          <w:sz w:val="22"/>
        </w:rPr>
        <w:t xml:space="preserve"> средняя оценка по итоговой анкете; целевое значение — не менее 4 баллов из 5.</w:t>
      </w:r>
    </w:p>
    <w:p>
      <w:pPr>
        <w:pStyle w:val="ListNumber"/>
      </w:pPr>
      <w:r>
        <w:rPr>
          <w:rFonts w:ascii="Arial" w:hAnsi="Arial"/>
          <w:b/>
          <w:color w:val="1B2433"/>
          <w:sz w:val="22"/>
        </w:rPr>
        <w:t>Доля закрытых кадровых заявок:</w:t>
      </w:r>
      <w:r>
        <w:rPr>
          <w:rFonts w:ascii="Arial" w:hAnsi="Arial"/>
          <w:b w:val="0"/>
          <w:color w:val="1B2433"/>
          <w:sz w:val="22"/>
        </w:rPr>
        <w:t xml:space="preserve"> число кадровых заявок, по которым выпускники приняты на работу / число заявок, включённых в адресный подбор, × 100%.</w:t>
      </w:r>
    </w:p>
    <w:p>
      <w:pPr>
        <w:pStyle w:val="ListNumber"/>
      </w:pPr>
      <w:r>
        <w:rPr>
          <w:rFonts w:ascii="Arial" w:hAnsi="Arial"/>
          <w:b/>
          <w:color w:val="1B2433"/>
          <w:sz w:val="22"/>
        </w:rPr>
        <w:t>Доля закрепившихся на предприятиях региона:</w:t>
      </w:r>
      <w:r>
        <w:rPr>
          <w:rFonts w:ascii="Arial" w:hAnsi="Arial"/>
          <w:b w:val="0"/>
          <w:color w:val="1B2433"/>
          <w:sz w:val="22"/>
        </w:rPr>
        <w:t xml:space="preserve"> число трудоустроенных по кадровым заявкам и сохранивших занятость / число трудоустроенных по таким заявкам, достигших контрольной точки, × 100%.</w:t>
      </w:r>
    </w:p>
    <w:p>
      <w:pPr>
        <w:pStyle w:val="Heading3"/>
      </w:pPr>
      <w:r>
        <w:t>Методы оценки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входное и итоговое анкетирование;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данные цифрового реестра;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телефонный или онлайн-мониторинг выпускников;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обратная связь наставников и работодателей;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анализ причин отказов, увольнений и смены места работы;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фокус-группы с участниками;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сравнение с данными предыдущего выпуска.</w:t>
      </w:r>
    </w:p>
    <w:p>
      <w:r>
        <w:rPr>
          <w:rFonts w:ascii="Arial" w:hAnsi="Arial"/>
          <w:b w:val="0"/>
          <w:color w:val="1B2433"/>
          <w:sz w:val="22"/>
        </w:rPr>
        <w:t>Факт трудоустройства подтверждается с согласия участника допустимым документом или сведениями работодателя. При расчёте показателей отдельно учитываются обучение по очной форме, служба, отпуск по уходу за ребёнком, состояние здоровья и иные объективные причины незанятости.</w:t>
      </w:r>
    </w:p>
    <w:p>
      <w:pPr>
        <w:pStyle w:val="Heading2"/>
      </w:pPr>
      <w:r>
        <w:t>15. Информационное сопровождение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презентация проекта на собраниях выпускных групп;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страница проекта на сайте и в социальных сетях образовательной организации;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истории молодых специалистов и наставников;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ежемесячный дайджест вакансий и мероприятий;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информационные материалы для работодателей;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публикация обезличенных промежуточных и итоговых результатов.</w:t>
      </w:r>
    </w:p>
    <w:p>
      <w:r>
        <w:rPr>
          <w:rFonts w:ascii="Arial" w:hAnsi="Arial"/>
          <w:b w:val="0"/>
          <w:color w:val="1B2433"/>
          <w:sz w:val="22"/>
        </w:rPr>
        <w:t>Информационные сообщения не должны раскрывать персональные данные или представлять выпускника как «проблемного». Коммуникация строится вокруг возможностей развития и профессионального успеха.</w:t>
      </w:r>
    </w:p>
    <w:p>
      <w:pPr>
        <w:pStyle w:val="Heading2"/>
      </w:pPr>
      <w:r>
        <w:t>16. Механизм закрытия кадровой потребности региона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Работодатели передают сведения о требуемых профессиях и должностях, количестве работников, квалификационных требованиях, условиях труда и сроках найма.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Базовый центр карьеры формирует сводную карту кадровой потребности и направляет информацию центрам карьеры ПОО.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Центры карьеры сопоставляют заявки с направлениями подготовки, компетенциями и профессиональными планами выпускников.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При выявлении дефицита компетенций колледж и работодатель определяют необходимые практические занятия, профессиональные пробы, стажировки или консультации.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Выпускник проходит адресную подготовку и собеседование на конкретное рабочее место.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После трудоустройства наставник предприятия и куратор центра карьеры сопровождают молодого специалиста в период адаптации.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Результат учитывается не только по факту приёма на работу, но и по закрытию кадровой заявки и сохранению занятости через 3, 6 и 12 месяцев.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Обобщённые данные используются Советом и Базовым центром карьеры для уточнения кадровых приоритетов и предложений системе СПО.</w:t>
      </w:r>
    </w:p>
    <w:p>
      <w:pPr>
        <w:pStyle w:val="Heading2"/>
      </w:pPr>
      <w:r>
        <w:t>17. Риски и меры реагирования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vAlign w:val="center"/>
            <w:shd w:fill="17233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Риск</w:t>
            </w:r>
          </w:p>
        </w:tc>
        <w:tc>
          <w:tcPr>
            <w:tcW w:type="dxa" w:w="3362"/>
            <w:vAlign w:val="center"/>
            <w:shd w:fill="17233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Вероятность/влияние</w:t>
            </w:r>
          </w:p>
        </w:tc>
        <w:tc>
          <w:tcPr>
            <w:tcW w:type="dxa" w:w="3362"/>
            <w:vAlign w:val="center"/>
            <w:shd w:fill="17233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Меры снижения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Низкая мотивация выпускников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средняя/высокое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раннее информирование, индивидуальные цели, истории успеха, удобный формат консультаций</w:t>
            </w:r>
          </w:p>
        </w:tc>
      </w:tr>
      <w:tr>
        <w:tc>
          <w:tcPr>
            <w:tcW w:type="dxa" w:w="336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Недостаток подходящих вакансий</w:t>
            </w:r>
          </w:p>
        </w:tc>
        <w:tc>
          <w:tcPr>
            <w:tcW w:type="dxa" w:w="336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средняя/высокое</w:t>
            </w:r>
          </w:p>
        </w:tc>
        <w:tc>
          <w:tcPr>
            <w:tcW w:type="dxa" w:w="336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расширение географии и базы партнёров, стажировки, краткосрочное дополнительное обучение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Формальное участие работодателя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средняя/высокое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соглашение с ответственными лицами, регулярная обратная связь, признание лучших наставников</w:t>
            </w:r>
          </w:p>
        </w:tc>
      </w:tr>
      <w:tr>
        <w:tc>
          <w:tcPr>
            <w:tcW w:type="dxa" w:w="336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Увольнение в первые месяцы</w:t>
            </w:r>
          </w:p>
        </w:tc>
        <w:tc>
          <w:tcPr>
            <w:tcW w:type="dxa" w:w="336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высокая/высокое</w:t>
            </w:r>
          </w:p>
        </w:tc>
        <w:tc>
          <w:tcPr>
            <w:tcW w:type="dxa" w:w="336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адаптационная карта, контакты на 7-й день и через 1 и 3 месяца, медиативная встреча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Несоответствие ожиданий выпускника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средняя/среднее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реалистичное знакомство с условиями, экскурсии, пробные дни и обсуждение трудового договора</w:t>
            </w:r>
          </w:p>
        </w:tc>
      </w:tr>
      <w:tr>
        <w:tc>
          <w:tcPr>
            <w:tcW w:type="dxa" w:w="336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Перегрузка кураторов</w:t>
            </w:r>
          </w:p>
        </w:tc>
        <w:tc>
          <w:tcPr>
            <w:tcW w:type="dxa" w:w="336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средняя/среднее</w:t>
            </w:r>
          </w:p>
        </w:tc>
        <w:tc>
          <w:tcPr>
            <w:tcW w:type="dxa" w:w="336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распределение участников по уровню риска, автоматические напоминания, групповые форматы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Недостоверность мониторинга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средняя/среднее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несколько каналов подтверждения, единые определения показателей, регулярное обновление данных</w:t>
            </w:r>
          </w:p>
        </w:tc>
      </w:tr>
      <w:tr>
        <w:tc>
          <w:tcPr>
            <w:tcW w:type="dxa" w:w="336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Нарушение конфиденциальности</w:t>
            </w:r>
          </w:p>
        </w:tc>
        <w:tc>
          <w:tcPr>
            <w:tcW w:type="dxa" w:w="336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низкая/высокое</w:t>
            </w:r>
          </w:p>
        </w:tc>
        <w:tc>
          <w:tcPr>
            <w:tcW w:type="dxa" w:w="336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разграничение доступа, согласия, минимизация данных, обезличивание отчётов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Неполные или быстро устаревающие кадровые заявки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средняя/высокое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единая форма заявки, подтверждение ответственным лицом работодателя, ежемесячная актуализация</w:t>
            </w:r>
          </w:p>
        </w:tc>
      </w:tr>
    </w:tbl>
    <w:p/>
    <w:p>
      <w:pPr>
        <w:pStyle w:val="Heading2"/>
      </w:pPr>
      <w:r>
        <w:t>18. Устойчивость проекта</w:t>
      </w:r>
    </w:p>
    <w:p>
      <w:r>
        <w:rPr>
          <w:rFonts w:ascii="Arial" w:hAnsi="Arial"/>
          <w:b w:val="0"/>
          <w:color w:val="1B2433"/>
          <w:sz w:val="22"/>
        </w:rPr>
        <w:t>После завершения пилотного периода проект продолжает работу за счёт: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включения сопровождения выпускников в план работы центра карьеры;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закрепления координации сети за Базовым центром карьеры Министерства образования и науки ЛНР;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ежегодного рассмотрения результатов и кадровых приоритетов Советом по социальному партнёрству в сфере занятости молодёжи;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закрепления функций за штатными специалистами;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использования созданного цифрового реестра и методических материалов;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долгосрочных соглашений с работодателями;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ежегодной подготовки новых наставников;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интеграции карьерных модулей в воспитательную работу и профессиональную подготовку;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анализа обратной связи работодателей при обновлении образовательных программ.</w:t>
      </w:r>
    </w:p>
    <w:p>
      <w:r>
        <w:rPr>
          <w:rFonts w:ascii="Arial" w:hAnsi="Arial"/>
          <w:b w:val="0"/>
          <w:color w:val="1B2433"/>
          <w:sz w:val="22"/>
        </w:rPr>
        <w:t>Модель может быть тиражирована в других организациях СПО. Для этого формируется пакет: положение о проекте, анкета диагностики, форма индивидуального маршрута, адаптационная карта, регламент мониторинга, анкеты обратной связи и инструкция по работе с цифровым реестром.</w:t>
      </w:r>
    </w:p>
    <w:p>
      <w:pPr>
        <w:pStyle w:val="Heading2"/>
      </w:pPr>
      <w:r>
        <w:t>19. Инновационность</w:t>
      </w:r>
    </w:p>
    <w:p>
      <w:r>
        <w:rPr>
          <w:rFonts w:ascii="Arial" w:hAnsi="Arial"/>
          <w:b w:val="0"/>
          <w:color w:val="1B2433"/>
          <w:sz w:val="22"/>
        </w:rPr>
        <w:t>Проект отличается от разовых ярмарок вакансий непрерывным сопровождением участника. В одной модели объединены данные о рисках, индивидуальный маршрут, база вакансий, наставничество и мониторинг закрепления.</w:t>
      </w:r>
    </w:p>
    <w:p>
      <w:r>
        <w:rPr>
          <w:rFonts w:ascii="Arial" w:hAnsi="Arial"/>
          <w:b w:val="0"/>
          <w:color w:val="1B2433"/>
          <w:sz w:val="22"/>
        </w:rPr>
        <w:t>Инновационные элементы: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оценка не только трудоустройства, но и сохранения занятости;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раннее выявление риска нетрудоустройства и увольнения;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совместная адаптационная карта выпускника, колледжа и работодателя;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контрольные точки до 12 месяцев работы;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цифровая аналитика профессиональных маршрутов;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использование причин увольнений как обратной связи для системы подготовки кадров.</w:t>
      </w:r>
    </w:p>
    <w:p>
      <w:pPr>
        <w:pStyle w:val="Heading2"/>
      </w:pPr>
      <w:r>
        <w:t>20. Ожидаемый социальный эффект</w:t>
      </w:r>
    </w:p>
    <w:p>
      <w:r>
        <w:rPr>
          <w:rFonts w:ascii="Arial" w:hAnsi="Arial"/>
          <w:b w:val="0"/>
          <w:color w:val="1B2433"/>
          <w:sz w:val="22"/>
        </w:rPr>
        <w:t>Реализация «ПрофТрека» позволит направлять выпускников на реальные рабочие места, востребованные экономикой ЛНР, и повысить их закрепляемость. Выпускники получат понятный путь к работе по профессии, работодатели — устойчивый приток подготовленных молодых кадров, а колледжи — достоверную обратную связь для приведения подготовки в соответствие с потребностями предприятий.</w:t>
      </w:r>
    </w:p>
    <w:p>
      <w:r>
        <w:rPr>
          <w:rFonts w:ascii="Arial" w:hAnsi="Arial"/>
          <w:b w:val="0"/>
          <w:color w:val="1B2433"/>
          <w:sz w:val="22"/>
        </w:rPr>
        <w:t>В долгосрочной перспективе проект способствует закрытию кадровой потребности экономики региона, снижению молодёжной безработицы, уменьшению кадрового дефицита, росту престижа рабочих профессий и укреплению связи между профессиональным образованием и предприятиями ЛНР.</w:t>
      </w:r>
    </w:p>
    <w:p>
      <w:pPr>
        <w:pStyle w:val="Heading2"/>
      </w:pPr>
      <w:r>
        <w:t>Приложение 1. Индивидуальный профессиональный маршрут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Ф. И. О. участника.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Образовательная организация, специальность, год выпуска.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Желаемая профессия/должность и условия работы.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Уровень риска и выявленные барьеры.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Сильные стороны и профессиональные компетенции.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Необходимые меры поддержки.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Перечень подходящих работодателей и вакансий.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План действий с датами и ответственными.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Результаты откликов и собеседований.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Сведения о трудоустройстве.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Контрольные точки адаптации.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Итог маршрута через 3, 6 и 12 месяцев.</w:t>
      </w:r>
    </w:p>
    <w:p>
      <w:pPr>
        <w:pStyle w:val="Heading2"/>
      </w:pPr>
      <w:r>
        <w:t>Приложение 2. Адаптационная карта молодого специалиста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2521"/>
            <w:vAlign w:val="center"/>
            <w:shd w:fill="17233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Контрольная точка</w:t>
            </w:r>
          </w:p>
        </w:tc>
        <w:tc>
          <w:tcPr>
            <w:tcW w:type="dxa" w:w="2521"/>
            <w:vAlign w:val="center"/>
            <w:shd w:fill="17233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Действия выпускника</w:t>
            </w:r>
          </w:p>
        </w:tc>
        <w:tc>
          <w:tcPr>
            <w:tcW w:type="dxa" w:w="2521"/>
            <w:vAlign w:val="center"/>
            <w:shd w:fill="17233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Действия наставника</w:t>
            </w:r>
          </w:p>
        </w:tc>
        <w:tc>
          <w:tcPr>
            <w:tcW w:type="dxa" w:w="2521"/>
            <w:vAlign w:val="center"/>
            <w:shd w:fill="17233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Действия куратора</w:t>
            </w:r>
          </w:p>
        </w:tc>
      </w:tr>
      <w:tr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Первый рабочий день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знакомство с правилами и обязанностями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вводный инструктаж, знакомство с коллективом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контакт с выпускником после выхода</w:t>
            </w:r>
          </w:p>
        </w:tc>
      </w:tr>
      <w:tr>
        <w:tc>
          <w:tcPr>
            <w:tcW w:type="dxa" w:w="252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7-й день</w:t>
            </w:r>
          </w:p>
        </w:tc>
        <w:tc>
          <w:tcPr>
            <w:tcW w:type="dxa" w:w="252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фиксация вопросов и трудностей</w:t>
            </w:r>
          </w:p>
        </w:tc>
        <w:tc>
          <w:tcPr>
            <w:tcW w:type="dxa" w:w="252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первичная обратная связь</w:t>
            </w:r>
          </w:p>
        </w:tc>
        <w:tc>
          <w:tcPr>
            <w:tcW w:type="dxa" w:w="252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короткая консультация</w:t>
            </w:r>
          </w:p>
        </w:tc>
      </w:tr>
      <w:tr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1-й месяц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освоение базовых задач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оценка навыков, корректировка обучения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опрос выпускника и наставника</w:t>
            </w:r>
          </w:p>
        </w:tc>
      </w:tr>
      <w:tr>
        <w:tc>
          <w:tcPr>
            <w:tcW w:type="dxa" w:w="252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3-й месяц</w:t>
            </w:r>
          </w:p>
        </w:tc>
        <w:tc>
          <w:tcPr>
            <w:tcW w:type="dxa" w:w="252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самостоятельное выполнение типовых задач</w:t>
            </w:r>
          </w:p>
        </w:tc>
        <w:tc>
          <w:tcPr>
            <w:tcW w:type="dxa" w:w="252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итог испытательного срока</w:t>
            </w:r>
          </w:p>
        </w:tc>
        <w:tc>
          <w:tcPr>
            <w:tcW w:type="dxa" w:w="252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совместная оценка риска увольнения</w:t>
            </w:r>
          </w:p>
        </w:tc>
      </w:tr>
      <w:tr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6-й месяц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постановка целей развития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рекомендации по развитию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мониторинг закрепления</w:t>
            </w:r>
          </w:p>
        </w:tc>
      </w:tr>
      <w:tr>
        <w:tc>
          <w:tcPr>
            <w:tcW w:type="dxa" w:w="252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12-й месяц</w:t>
            </w:r>
          </w:p>
        </w:tc>
        <w:tc>
          <w:tcPr>
            <w:tcW w:type="dxa" w:w="252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оценка профессионального роста</w:t>
            </w:r>
          </w:p>
        </w:tc>
        <w:tc>
          <w:tcPr>
            <w:tcW w:type="dxa" w:w="252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итоговая обратная связь</w:t>
            </w:r>
          </w:p>
        </w:tc>
        <w:tc>
          <w:tcPr>
            <w:tcW w:type="dxa" w:w="252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завершение маршрута или новый план</w:t>
            </w:r>
          </w:p>
        </w:tc>
      </w:tr>
    </w:tbl>
    <w:p/>
    <w:p>
      <w:pPr>
        <w:pStyle w:val="Heading2"/>
      </w:pPr>
      <w:r>
        <w:t>Приложение 3. Краткая анкета мониторинга выпускника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Продолжаете ли вы работать?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Соответствует ли работа полученной специальности?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Удовлетворены ли вы условиями и содержанием работы по шкале от 1 до 5?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Какие трудности возникли за прошедший период?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Получаете ли вы поддержку наставника?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Планируете ли вы продолжать работу в организации ближайшие шесть месяцев?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Какая помощь колледжа или работодателя вам необходима?</w:t>
      </w:r>
    </w:p>
    <w:p>
      <w:pPr>
        <w:pStyle w:val="Heading2"/>
      </w:pPr>
      <w:r>
        <w:t>Приложение 4. Критерии успешного завершения маршрута</w:t>
      </w:r>
    </w:p>
    <w:p>
      <w:r>
        <w:rPr>
          <w:rFonts w:ascii="Arial" w:hAnsi="Arial"/>
          <w:b w:val="0"/>
          <w:color w:val="1B2433"/>
          <w:sz w:val="22"/>
        </w:rPr>
        <w:t>Маршрут считается успешно завершённым, если участник: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трудоустроен официально либо осуществляет иную подтверждённую профессиональную занятость;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работает по полученной или родственной профессии либо имеет обоснованный индивидуальный маршрут;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прошёл ключевые контрольные точки сопровождения;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сохраняет занятость через 12 месяцев или совершил согласованный профессиональный переход;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оценил полученную поддержку и предоставил итоговую обратную связь.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90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58196"/>
        <w:sz w:val="16"/>
      </w:rPr>
      <w:t>Кулешова Виктория Геннадьевна  •  ЛНР  •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2D66B3"/>
        <w:sz w:val="16"/>
      </w:rPr>
      <w:t>ПРОФТРЕК  |  ОТ ДИПЛОМА К ПРОФЕССИИ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B24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233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D66B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7233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7233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