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Keeping LLM-Generated Marketing Within the Evidence</w:t>
      </w:r>
    </w:p>
    <w:p w:rsidR="00000000" w:rsidDel="00000000" w:rsidP="00000000" w:rsidRDefault="00000000" w:rsidRPr="00000000" w14:paraId="00000002">
      <w:pPr>
        <w:rPr/>
      </w:pPr>
      <w:r w:rsidDel="00000000" w:rsidR="00000000" w:rsidRPr="00000000">
        <w:rPr>
          <w:rtl w:val="0"/>
        </w:rPr>
        <w:t xml:space="preserve">Sep 30, 2026 · @Viktor</w:t>
      </w:r>
    </w:p>
    <w:p w:rsidR="00000000" w:rsidDel="00000000" w:rsidP="00000000" w:rsidRDefault="00000000" w:rsidRPr="00000000" w14:paraId="00000003">
      <w:pPr>
        <w:rPr/>
      </w:pPr>
      <w:r w:rsidDel="00000000" w:rsidR="00000000" w:rsidRPr="00000000">
        <w:rPr>
          <w:b w:val="1"/>
          <w:bCs w:val="1"/>
          <w:rtl w:val="0"/>
        </w:rPr>
        <w:t xml:space="preserve">A Case Study of a Claims-Verification Layer for AI-Generated Product Content</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Viktor Liikamaa</w:t>
      </w:r>
      <w:r w:rsidDel="00000000" w:rsidR="00000000" w:rsidRPr="00000000">
        <w:rPr>
          <w:rtl w:val="0"/>
        </w:rPr>
        <w:t xml:space="preserve">, Independent Researcher, Stockholm, Sweden. viktorliikamaa@gmail.com</w:t>
      </w:r>
    </w:p>
    <w:p w:rsidR="00000000" w:rsidDel="00000000" w:rsidP="00000000" w:rsidRDefault="00000000" w:rsidRPr="00000000" w14:paraId="00000005">
      <w:pPr>
        <w:rPr/>
      </w:pPr>
      <w:r w:rsidDel="00000000" w:rsidR="00000000" w:rsidRPr="00000000">
        <w:rPr>
          <w:rtl w:val="0"/>
        </w:rPr>
        <w:t xml:space="preserve">Working paper, September 2026</w:t>
      </w:r>
    </w:p>
    <w:p w:rsidR="00000000" w:rsidDel="00000000" w:rsidP="00000000" w:rsidRDefault="00000000" w:rsidRPr="00000000" w14:paraId="00000006">
      <w:pPr>
        <w:pStyle w:val="Heading2"/>
        <w:rPr/>
      </w:pPr>
      <w:r w:rsidDel="00000000" w:rsidR="00000000" w:rsidRPr="00000000">
        <w:rPr>
          <w:rtl w:val="0"/>
        </w:rPr>
        <w:t xml:space="preserve">Abstract</w:t>
      </w:r>
    </w:p>
    <w:p w:rsidR="00000000" w:rsidDel="00000000" w:rsidP="00000000" w:rsidRDefault="00000000" w:rsidRPr="00000000" w14:paraId="00000007">
      <w:pPr>
        <w:rPr/>
      </w:pPr>
      <w:r w:rsidDel="00000000" w:rsidR="00000000" w:rsidRPr="00000000">
        <w:rPr>
          <w:rtl w:val="0"/>
        </w:rPr>
        <w:t xml:space="preserve">Language models used to write marketing copy tend to reproduce the claims common in their category, including health claims that sound authoritative but are not supported. This paper describes a case from an e-commerce research pipeline in which an LLM generated copy for a pet water fountain stating that fountains increase cats' water intake, supported only by a vague reference to "peer-reviewed veterinary journals." A manual check of the underlying literature found that the studies did not support the general claim: they reported no significant average difference in intake between water sources, and individual cats differed in whether they preferred flowing water. The pipeline was then changed so that each product carries a short claims file listing approved claims with specific citations and banned claims, and this file is injected into every generation step, together with a ban on unsourced authority phrases such as "vets say" or "studies show." In a small regeneration test, all three new ad variants stayed within the approved claims. The constrained copy was also arguably stronger, since honesty about variation became the product's selling point. The paper argues that a per-product evidence file is a cheap, auditable control for LLM content, and that its real cost is the human work of reading the sources.</w:t>
      </w:r>
    </w:p>
    <w:p w:rsidR="00000000" w:rsidDel="00000000" w:rsidP="00000000" w:rsidRDefault="00000000" w:rsidRPr="00000000" w14:paraId="00000008">
      <w:pPr>
        <w:rPr/>
      </w:pPr>
      <w:r w:rsidDel="00000000" w:rsidR="00000000" w:rsidRPr="00000000">
        <w:rPr>
          <w:b w:val="1"/>
          <w:bCs w:val="1"/>
          <w:rtl w:val="0"/>
        </w:rPr>
        <w:t xml:space="preserve">Keywords:</w:t>
      </w:r>
      <w:r w:rsidDel="00000000" w:rsidR="00000000" w:rsidRPr="00000000">
        <w:rPr>
          <w:rtl w:val="0"/>
        </w:rPr>
        <w:t xml:space="preserve"> large language models, hallucination, factuality, content evaluation, marketing claims, grounding, human review, AI safety in practice</w:t>
      </w:r>
    </w:p>
    <w:p w:rsidR="00000000" w:rsidDel="00000000" w:rsidP="00000000" w:rsidRDefault="00000000" w:rsidRPr="00000000" w14:paraId="00000009">
      <w:pPr>
        <w:pStyle w:val="Heading2"/>
        <w:rPr/>
      </w:pPr>
      <w:r w:rsidDel="00000000" w:rsidR="00000000" w:rsidRPr="00000000">
        <w:rPr>
          <w:rtl w:val="0"/>
        </w:rPr>
        <w:t xml:space="preserve">1. Introduction</w:t>
      </w:r>
    </w:p>
    <w:p w:rsidR="00000000" w:rsidDel="00000000" w:rsidP="00000000" w:rsidRDefault="00000000" w:rsidRPr="00000000" w14:paraId="0000000A">
      <w:pPr>
        <w:rPr/>
      </w:pPr>
      <w:r w:rsidDel="00000000" w:rsidR="00000000" w:rsidRPr="00000000">
        <w:rPr>
          <w:rtl w:val="0"/>
        </w:rPr>
        <w:t xml:space="preserve">Language models produce fluent text whether or not it is true. Research on hallucination distinguishes content that contradicts a source from content that cannot be verified against any source (Maynez et al., 2020; Ji et al., 2023). Marketing is a domain where the second kind is especially likely. Models learn from large amounts of existing advertising, and advertising in many product categories routinely makes health and performance claims with borrowed authority.</w:t>
      </w:r>
    </w:p>
    <w:p w:rsidR="00000000" w:rsidDel="00000000" w:rsidP="00000000" w:rsidRDefault="00000000" w:rsidRPr="00000000" w14:paraId="0000000B">
      <w:pPr>
        <w:rPr/>
      </w:pPr>
      <w:r w:rsidDel="00000000" w:rsidR="00000000" w:rsidRPr="00000000">
        <w:rPr>
          <w:rtl w:val="0"/>
        </w:rPr>
        <w:t xml:space="preserve">The risk is practical, not only ethical. Health claims in advertising are regulated in most markets, and a claim that a customer can check and disprove damages a small brand's credibility. A pipeline that generates copy at scale also repeats a bad claim at scale.</w:t>
      </w:r>
    </w:p>
    <w:p w:rsidR="00000000" w:rsidDel="00000000" w:rsidP="00000000" w:rsidRDefault="00000000" w:rsidRPr="00000000" w14:paraId="0000000C">
      <w:pPr>
        <w:rPr/>
      </w:pPr>
      <w:r w:rsidDel="00000000" w:rsidR="00000000" w:rsidRPr="00000000">
        <w:rPr>
          <w:rtl w:val="0"/>
        </w:rPr>
        <w:t xml:space="preserve">This paper describes how such a claim was found in an AI-driven product-research pipeline built by the author, how it was checked against the literature, and how the pipeline was changed so that generation stays within verified evidence. It is a single case, reported in detail because the problem is common and the fix is simple.</w:t>
      </w:r>
    </w:p>
    <w:p w:rsidR="00000000" w:rsidDel="00000000" w:rsidP="00000000" w:rsidRDefault="00000000" w:rsidRPr="00000000" w14:paraId="0000000D">
      <w:pPr>
        <w:pStyle w:val="Heading2"/>
        <w:rPr/>
      </w:pPr>
      <w:r w:rsidDel="00000000" w:rsidR="00000000" w:rsidRPr="00000000">
        <w:rPr>
          <w:rtl w:val="0"/>
        </w:rPr>
        <w:t xml:space="preserve">2. The pipeline and the problem</w:t>
      </w:r>
    </w:p>
    <w:p w:rsidR="00000000" w:rsidDel="00000000" w:rsidP="00000000" w:rsidRDefault="00000000" w:rsidRPr="00000000" w14:paraId="0000000E">
      <w:pPr>
        <w:rPr/>
      </w:pPr>
      <w:r w:rsidDel="00000000" w:rsidR="00000000" w:rsidRPr="00000000">
        <w:rPr>
          <w:b w:val="1"/>
          <w:bCs w:val="1"/>
          <w:rtl w:val="0"/>
        </w:rPr>
        <w:t xml:space="preserve">The pipeline.</w:t>
      </w:r>
      <w:r w:rsidDel="00000000" w:rsidR="00000000" w:rsidRPr="00000000">
        <w:rPr>
          <w:rtl w:val="0"/>
        </w:rPr>
        <w:t xml:space="preserve"> The author built a set of connected tools to research products for a small online store. One tool found candidate products from public trend data. Another analysed competitor stores and their advertising, using a public ad library to see which ads kept running over time. A third, called here the launch-package generator, used an LLM to produce a positioning angle, video ad scripts and landing-page copy for each candidate. The first candidate chosen was a cordless stainless-steel water fountain for cats.</w:t>
      </w:r>
    </w:p>
    <w:p w:rsidR="00000000" w:rsidDel="00000000" w:rsidP="00000000" w:rsidRDefault="00000000" w:rsidRPr="00000000" w14:paraId="0000000F">
      <w:pPr>
        <w:rPr/>
      </w:pPr>
      <w:r w:rsidDel="00000000" w:rsidR="00000000" w:rsidRPr="00000000">
        <w:rPr>
          <w:b w:val="1"/>
          <w:bCs w:val="1"/>
          <w:rtl w:val="0"/>
        </w:rPr>
        <w:t xml:space="preserve">What the competitor research showed.</w:t>
      </w:r>
      <w:r w:rsidDel="00000000" w:rsidR="00000000" w:rsidRPr="00000000">
        <w:rPr>
          <w:rtl w:val="0"/>
        </w:rPr>
        <w:t xml:space="preserve"> The leading competitor ran around 90 distinct video ads, including ads from a persona presented as a veterinarian. That approach was flagged as one not to copy. Category advertising generally claimed that fountains make cats drink more and protect their kidney and urinary health.</w:t>
      </w:r>
    </w:p>
    <w:p w:rsidR="00000000" w:rsidDel="00000000" w:rsidP="00000000" w:rsidRDefault="00000000" w:rsidRPr="00000000" w14:paraId="00000010">
      <w:pPr>
        <w:rPr/>
      </w:pPr>
      <w:r w:rsidDel="00000000" w:rsidR="00000000" w:rsidRPr="00000000">
        <w:rPr>
          <w:b w:val="1"/>
          <w:bCs w:val="1"/>
          <w:rtl w:val="0"/>
        </w:rPr>
        <w:t xml:space="preserve">What the model produced.</w:t>
      </w:r>
      <w:r w:rsidDel="00000000" w:rsidR="00000000" w:rsidRPr="00000000">
        <w:rPr>
          <w:rtl w:val="0"/>
        </w:rPr>
        <w:t xml:space="preserve"> The generated landing page followed the category. It stated that chronic low water intake is linked to urinary and kidney problems, that moving water triggers drinking in a way still water never will, and it attributed this to "peer-reviewed veterinary journals and Cornell Feline Health Center" without naming a study.</w:t>
      </w:r>
    </w:p>
    <w:p w:rsidR="00000000" w:rsidDel="00000000" w:rsidP="00000000" w:rsidRDefault="00000000" w:rsidRPr="00000000" w14:paraId="00000011">
      <w:pPr>
        <w:rPr/>
      </w:pPr>
      <w:r w:rsidDel="00000000" w:rsidR="00000000" w:rsidRPr="00000000">
        <w:rPr>
          <w:b w:val="1"/>
          <w:bCs w:val="1"/>
          <w:rtl w:val="0"/>
        </w:rPr>
        <w:t xml:space="preserve">The check.</w:t>
      </w:r>
      <w:r w:rsidDel="00000000" w:rsidR="00000000" w:rsidRPr="00000000">
        <w:rPr>
          <w:rtl w:val="0"/>
        </w:rPr>
        <w:t xml:space="preserve"> Before the copy was used, the author and the AI model working with him looked up the studies that these claims appear to rest on. Two were central. A pilot study by Pachel and Neilson (2010) compared still and flowing water and found that individual cats varied: some clearly preferred flowing water and others did not. A study by Grant (2010) compared water sources in healthy cats and found no significant difference in average intake or urine concentration. Neither supported the general claim that fountains increase intake. The copy, if published, would have cited evidence that says something different, which a careful customer or a regulator could check.</w:t>
      </w:r>
    </w:p>
    <w:p w:rsidR="00000000" w:rsidDel="00000000" w:rsidP="00000000" w:rsidRDefault="00000000" w:rsidRPr="00000000" w14:paraId="00000012">
      <w:pPr>
        <w:pStyle w:val="Heading2"/>
        <w:rPr/>
      </w:pPr>
      <w:r w:rsidDel="00000000" w:rsidR="00000000" w:rsidRPr="00000000">
        <w:rPr>
          <w:rtl w:val="0"/>
        </w:rPr>
        <w:t xml:space="preserve">3. The claims layer</w:t>
      </w:r>
    </w:p>
    <w:p w:rsidR="00000000" w:rsidDel="00000000" w:rsidP="00000000" w:rsidRDefault="00000000" w:rsidRPr="00000000" w14:paraId="00000013">
      <w:pPr>
        <w:rPr/>
      </w:pPr>
      <w:r w:rsidDel="00000000" w:rsidR="00000000" w:rsidRPr="00000000">
        <w:rPr>
          <w:rtl w:val="0"/>
        </w:rPr>
        <w:t xml:space="preserve">The fix was deliberately simple: one plain-text file per product, written by a human after reading the sources, and passed into every generation step.</w:t>
      </w:r>
    </w:p>
    <w:p w:rsidR="00000000" w:rsidDel="00000000" w:rsidP="00000000" w:rsidRDefault="00000000" w:rsidRPr="00000000" w14:paraId="00000014">
      <w:pPr>
        <w:rPr/>
      </w:pPr>
      <w:r w:rsidDel="00000000" w:rsidR="00000000" w:rsidRPr="00000000">
        <w:rPr>
          <w:b w:val="1"/>
          <w:bCs w:val="1"/>
          <w:rtl w:val="0"/>
        </w:rPr>
        <w:t xml:space="preserve">The claims file.</w:t>
      </w:r>
      <w:r w:rsidDel="00000000" w:rsidR="00000000" w:rsidRPr="00000000">
        <w:rPr>
          <w:rtl w:val="0"/>
        </w:rPr>
        <w:t xml:space="preserve"> Each product package gained a file, </w:t>
      </w:r>
      <w:r w:rsidDel="00000000" w:rsidR="00000000" w:rsidRPr="00000000">
        <w:rPr>
          <w:rFonts w:ascii="Consolas" w:cs="Consolas" w:eastAsia="Consolas" w:hAnsi="Consolas"/>
          <w:sz w:val="20"/>
          <w:szCs w:val="20"/>
          <w:shd w:fill="f5f5f5" w:val="clear"/>
          <w:rtl w:val="0"/>
        </w:rPr>
        <w:t xml:space="preserve">07_claims.md</w:t>
      </w:r>
      <w:r w:rsidDel="00000000" w:rsidR="00000000" w:rsidRPr="00000000">
        <w:rPr>
          <w:rtl w:val="0"/>
        </w:rPr>
        <w:t xml:space="preserve">, with two lists.</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15">
            <w:pPr>
              <w:rPr/>
            </w:pPr>
            <w:r w:rsidDel="00000000" w:rsidR="00000000" w:rsidRPr="00000000">
              <w:rPr>
                <w:rtl w:val="0"/>
              </w:rPr>
              <w:t xml:space="preserve">List</w:t>
            </w:r>
          </w:p>
        </w:tc>
        <w:tc>
          <w:tcPr>
            <w:shd w:fill="f2f2f2" w:val="clear"/>
          </w:tcPr>
          <w:p w:rsidR="00000000" w:rsidDel="00000000" w:rsidP="00000000" w:rsidRDefault="00000000" w:rsidRPr="00000000" w14:paraId="00000016">
            <w:pPr>
              <w:rPr/>
            </w:pPr>
            <w:r w:rsidDel="00000000" w:rsidR="00000000" w:rsidRPr="00000000">
              <w:rPr>
                <w:rtl w:val="0"/>
              </w:rPr>
              <w:t xml:space="preserve">Content for the fountain</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Approved, with citation</w:t>
            </w:r>
          </w:p>
        </w:tc>
        <w:tc>
          <w:tcPr/>
          <w:p w:rsidR="00000000" w:rsidDel="00000000" w:rsidP="00000000" w:rsidRDefault="00000000" w:rsidRPr="00000000" w14:paraId="00000018">
            <w:pPr>
              <w:rPr/>
            </w:pPr>
            <w:r w:rsidDel="00000000" w:rsidR="00000000" w:rsidRPr="00000000">
              <w:rPr>
                <w:rtl w:val="0"/>
              </w:rPr>
              <w:t xml:space="preserve">Individual cats vary, and some clearly prefer flowing water (Pachel and Neilson, 2010). Drinking from a running tap is a visible sign of that preference. Wet food is the best-supported way to raise a cat's water intake.</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Banned</w:t>
            </w:r>
          </w:p>
        </w:tc>
        <w:tc>
          <w:tcPr/>
          <w:p w:rsidR="00000000" w:rsidDel="00000000" w:rsidP="00000000" w:rsidRDefault="00000000" w:rsidRPr="00000000" w14:paraId="0000001A">
            <w:pPr>
              <w:rPr/>
            </w:pPr>
            <w:r w:rsidDel="00000000" w:rsidR="00000000" w:rsidRPr="00000000">
              <w:rPr>
                <w:rtl w:val="0"/>
              </w:rPr>
              <w:t xml:space="preserve">That fountains are proven to increase water intake in general. That they prevent kidney disease. Any "vets say" or "studies show" phrasing without a specific citation.</w:t>
            </w:r>
          </w:p>
        </w:tc>
      </w:tr>
    </w:tbl>
    <w:p w:rsidR="00000000" w:rsidDel="00000000" w:rsidP="00000000" w:rsidRDefault="00000000" w:rsidRPr="00000000" w14:paraId="0000001B">
      <w:pPr>
        <w:rPr/>
      </w:pPr>
      <w:r w:rsidDel="00000000" w:rsidR="00000000" w:rsidRPr="00000000">
        <w:rPr>
          <w:b w:val="1"/>
          <w:bCs w:val="1"/>
          <w:rtl w:val="0"/>
        </w:rPr>
        <w:t xml:space="preserve">Injection.</w:t>
      </w:r>
      <w:r w:rsidDel="00000000" w:rsidR="00000000" w:rsidRPr="00000000">
        <w:rPr>
          <w:rtl w:val="0"/>
        </w:rPr>
        <w:t xml:space="preserve"> The three generation functions, for the positioning angle, the video scripts and the landing-page copy, each gained a claims parameter. Its content is inserted into the prompt with an explicit instruction to stay within the approved list and never use unsourced authority framing. The package builder loads the claims file automatically if it exists, so no extra step is needed when regenerating. If no file exists, a default instruction applies, so older calls keep working.</w:t>
      </w:r>
    </w:p>
    <w:p w:rsidR="00000000" w:rsidDel="00000000" w:rsidP="00000000" w:rsidRDefault="00000000" w:rsidRPr="00000000" w14:paraId="0000001C">
      <w:pPr>
        <w:rPr/>
      </w:pPr>
      <w:r w:rsidDel="00000000" w:rsidR="00000000" w:rsidRPr="00000000">
        <w:rPr>
          <w:b w:val="1"/>
          <w:bCs w:val="1"/>
          <w:rtl w:val="0"/>
        </w:rPr>
        <w:t xml:space="preserve">Why a file and not a model check.</w:t>
      </w:r>
      <w:r w:rsidDel="00000000" w:rsidR="00000000" w:rsidRPr="00000000">
        <w:rPr>
          <w:rtl w:val="0"/>
        </w:rPr>
        <w:t xml:space="preserve"> A second model asked to judge whether copy is supported would face the same problem as the first: it cannot verify against sources it has not read. A human-written file fixes the evidence once, makes it visible for review, and can be versioned with the product. It turns an open-ended factual question into a narrower compliance question: does this copy stay inside this list?</w:t>
      </w:r>
    </w:p>
    <w:p w:rsidR="00000000" w:rsidDel="00000000" w:rsidP="00000000" w:rsidRDefault="00000000" w:rsidRPr="00000000" w14:paraId="0000001D">
      <w:pPr>
        <w:pStyle w:val="Heading2"/>
        <w:rPr/>
      </w:pPr>
      <w:r w:rsidDel="00000000" w:rsidR="00000000" w:rsidRPr="00000000">
        <w:rPr>
          <w:rtl w:val="0"/>
        </w:rPr>
        <w:t xml:space="preserve">4. Results</w:t>
      </w:r>
    </w:p>
    <w:p w:rsidR="00000000" w:rsidDel="00000000" w:rsidP="00000000" w:rsidRDefault="00000000" w:rsidRPr="00000000" w14:paraId="0000001E">
      <w:pPr>
        <w:rPr/>
      </w:pPr>
      <w:r w:rsidDel="00000000" w:rsidR="00000000" w:rsidRPr="00000000">
        <w:rPr>
          <w:b w:val="1"/>
          <w:bCs w:val="1"/>
          <w:rtl w:val="0"/>
        </w:rPr>
        <w:t xml:space="preserve">Compliance.</w:t>
      </w:r>
      <w:r w:rsidDel="00000000" w:rsidR="00000000" w:rsidRPr="00000000">
        <w:rPr>
          <w:rtl w:val="0"/>
        </w:rPr>
        <w:t xml:space="preserve"> The package was regenerated with the claims file in place and an instruction to build the angle around honesty about the evidence. All three new ad variants stayed within the approved list. They cited only the flow-preference study, and none claimed that fountains prevent kidney disease or increase intake in general. The positioning document and one variant named the journal of the cited study correctly. Compliance was checked by the author reading the output against the file.</w:t>
      </w:r>
    </w:p>
    <w:p w:rsidR="00000000" w:rsidDel="00000000" w:rsidP="00000000" w:rsidRDefault="00000000" w:rsidRPr="00000000" w14:paraId="0000001F">
      <w:pPr>
        <w:rPr/>
      </w:pPr>
      <w:r w:rsidDel="00000000" w:rsidR="00000000" w:rsidRPr="00000000">
        <w:rPr>
          <w:b w:val="1"/>
          <w:bCs w:val="1"/>
          <w:rtl w:val="0"/>
        </w:rPr>
        <w:t xml:space="preserve">Quality.</w:t>
      </w:r>
      <w:r w:rsidDel="00000000" w:rsidR="00000000" w:rsidRPr="00000000">
        <w:rPr>
          <w:rtl w:val="0"/>
        </w:rPr>
        <w:t xml:space="preserve"> The constraint did not weaken the copy. One variant opened with the line "We won't say it works for every cat," told the viewer to watch whether their cat drinks from the tap, and tied the product's 60-day return policy to the evidence that cats differ. The evidence became the reason for the guarantee rather than a limitation to hide. This angle was also hard for competitors to copy without contradicting their own claims.</w:t>
      </w:r>
    </w:p>
    <w:p w:rsidR="00000000" w:rsidDel="00000000" w:rsidP="00000000" w:rsidRDefault="00000000" w:rsidRPr="00000000" w14:paraId="00000020">
      <w:pPr>
        <w:rPr/>
      </w:pPr>
      <w:r w:rsidDel="00000000" w:rsidR="00000000" w:rsidRPr="00000000">
        <w:rPr>
          <w:b w:val="1"/>
          <w:bCs w:val="1"/>
          <w:rtl w:val="0"/>
        </w:rPr>
        <w:t xml:space="preserve">Other silent errors in the same pipeline.</w:t>
      </w:r>
      <w:r w:rsidDel="00000000" w:rsidR="00000000" w:rsidRPr="00000000">
        <w:rPr>
          <w:rtl w:val="0"/>
        </w:rPr>
        <w:t xml:space="preserve"> The claims problem was one of several failures that produced plausible output without any error message: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ad-library scraper first located ads by visual style classes, which broke as soon as the site changed them. It was rebuilt to anchor on the ads' stable identifier text.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parsing handled only English. For Swedish-language results it silently returned zero ads, which looked like a quiet market.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store platform's product endpoint ignored a sort-by-bestsellers setting without warning, so "best-sellers" were in default order until the parser switched to the rendered page.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Rank-change alerts treated a missing snapshot as a change in rank. They were patched to skip comparisons when either snapshot was missing.</w:t>
      </w:r>
    </w:p>
    <w:p w:rsidR="00000000" w:rsidDel="00000000" w:rsidP="00000000" w:rsidRDefault="00000000" w:rsidRPr="00000000" w14:paraId="00000025">
      <w:pPr>
        <w:rPr/>
      </w:pPr>
      <w:r w:rsidDel="00000000" w:rsidR="00000000" w:rsidRPr="00000000">
        <w:rPr>
          <w:rtl w:val="0"/>
        </w:rPr>
        <w:t xml:space="preserve">Each of these, like the unsupported claim, would have passed any check that looked only at whether the system produced output.</w:t>
      </w:r>
    </w:p>
    <w:p w:rsidR="00000000" w:rsidDel="00000000" w:rsidP="00000000" w:rsidRDefault="00000000" w:rsidRPr="00000000" w14:paraId="00000026">
      <w:pPr>
        <w:pStyle w:val="Heading2"/>
        <w:rPr/>
      </w:pPr>
      <w:r w:rsidDel="00000000" w:rsidR="00000000" w:rsidRPr="00000000">
        <w:rPr>
          <w:rtl w:val="0"/>
        </w:rPr>
        <w:t xml:space="preserve">5. Discussion</w:t>
      </w:r>
    </w:p>
    <w:p w:rsidR="00000000" w:rsidDel="00000000" w:rsidP="00000000" w:rsidRDefault="00000000" w:rsidRPr="00000000" w14:paraId="00000027">
      <w:pPr>
        <w:rPr/>
      </w:pPr>
      <w:r w:rsidDel="00000000" w:rsidR="00000000" w:rsidRPr="00000000">
        <w:rPr>
          <w:b w:val="1"/>
          <w:bCs w:val="1"/>
          <w:rtl w:val="0"/>
        </w:rPr>
        <w:t xml:space="preserve">Models inherit their category's claims.</w:t>
      </w:r>
      <w:r w:rsidDel="00000000" w:rsidR="00000000" w:rsidRPr="00000000">
        <w:rPr>
          <w:rtl w:val="0"/>
        </w:rPr>
        <w:t xml:space="preserve"> The unsupported claim was not an unusual invention. It was the standard claim of the product category, repeated with a plausible-sounding source. This is the harder kind of error to catch, because it reads as normal to anyone familiar with the category. Checking for it requires going to the cited evidence, not judging whether the text sounds right.</w:t>
      </w:r>
    </w:p>
    <w:p w:rsidR="00000000" w:rsidDel="00000000" w:rsidP="00000000" w:rsidRDefault="00000000" w:rsidRPr="00000000" w14:paraId="00000028">
      <w:pPr>
        <w:rPr/>
      </w:pPr>
      <w:r w:rsidDel="00000000" w:rsidR="00000000" w:rsidRPr="00000000">
        <w:rPr>
          <w:b w:val="1"/>
          <w:bCs w:val="1"/>
          <w:rtl w:val="0"/>
        </w:rPr>
        <w:t xml:space="preserve">The expensive part is reading, not engineering.</w:t>
      </w:r>
      <w:r w:rsidDel="00000000" w:rsidR="00000000" w:rsidRPr="00000000">
        <w:rPr>
          <w:rtl w:val="0"/>
        </w:rPr>
        <w:t xml:space="preserve"> The code change took a parameter in three functions. The real work was reading two studies and deciding what they do and do not show. That work cannot be delegated to the same kind of model that made the error without reintroducing the problem, although a model can help locate sources.</w:t>
      </w:r>
    </w:p>
    <w:p w:rsidR="00000000" w:rsidDel="00000000" w:rsidP="00000000" w:rsidRDefault="00000000" w:rsidRPr="00000000" w14:paraId="00000029">
      <w:pPr>
        <w:rPr/>
      </w:pPr>
      <w:r w:rsidDel="00000000" w:rsidR="00000000" w:rsidRPr="00000000">
        <w:rPr>
          <w:b w:val="1"/>
          <w:bCs w:val="1"/>
          <w:rtl w:val="0"/>
        </w:rPr>
        <w:t xml:space="preserve">Constraint as a design input.</w:t>
      </w:r>
      <w:r w:rsidDel="00000000" w:rsidR="00000000" w:rsidRPr="00000000">
        <w:rPr>
          <w:rtl w:val="0"/>
        </w:rPr>
        <w:t xml:space="preserve"> In this case the evidence-bound angle was a better commercial position, not only a safer one. That will not always hold, but it suggests that evidence constraints should be introduced early, where they can shape positioning, rather than late, as edits.</w:t>
      </w:r>
    </w:p>
    <w:p w:rsidR="00000000" w:rsidDel="00000000" w:rsidP="00000000" w:rsidRDefault="00000000" w:rsidRPr="00000000" w14:paraId="0000002A">
      <w:pPr>
        <w:rPr/>
      </w:pPr>
      <w:r w:rsidDel="00000000" w:rsidR="00000000" w:rsidRPr="00000000">
        <w:rPr>
          <w:b w:val="1"/>
          <w:bCs w:val="1"/>
          <w:rtl w:val="0"/>
        </w:rPr>
        <w:t xml:space="preserve">Relevance to LLM evaluation.</w:t>
      </w:r>
      <w:r w:rsidDel="00000000" w:rsidR="00000000" w:rsidRPr="00000000">
        <w:rPr>
          <w:rtl w:val="0"/>
        </w:rPr>
        <w:t xml:space="preserve"> The case maps onto a common evaluation task: given a source set, is a generated claim supported, contradicted or unverifiable? Framing the check as compliance with an explicit list made it quick and consistent. For human evaluators of model output, the practical lesson is to trace a claim to its named source rather than judge plausibility.</w:t>
      </w:r>
    </w:p>
    <w:p w:rsidR="00000000" w:rsidDel="00000000" w:rsidP="00000000" w:rsidRDefault="00000000" w:rsidRPr="00000000" w14:paraId="0000002B">
      <w:pPr>
        <w:rPr/>
      </w:pPr>
      <w:r w:rsidDel="00000000" w:rsidR="00000000" w:rsidRPr="00000000">
        <w:rPr>
          <w:b w:val="1"/>
          <w:bCs w:val="1"/>
          <w:rtl w:val="0"/>
        </w:rPr>
        <w:t xml:space="preserve">Limitations.</w:t>
      </w:r>
      <w:r w:rsidDel="00000000" w:rsidR="00000000" w:rsidRPr="00000000">
        <w:rPr>
          <w:rtl w:val="0"/>
        </w:rPr>
        <w:t xml:space="preserve"> This is one product and one regeneration round of three variants, checked by one person, the author. There is no systematic measure of how often the unconstrained model makes unsupported claims, and no test of whether compliance holds over many generations. The approved list itself reflects the author's reading of the literature and was not reviewed by a veterinarian. The product was not launched, so no customer or regulatory response was observed.</w:t>
      </w:r>
    </w:p>
    <w:p w:rsidR="00000000" w:rsidDel="00000000" w:rsidP="00000000" w:rsidRDefault="00000000" w:rsidRPr="00000000" w14:paraId="0000002C">
      <w:pPr>
        <w:pStyle w:val="Heading2"/>
        <w:rPr/>
      </w:pPr>
      <w:r w:rsidDel="00000000" w:rsidR="00000000" w:rsidRPr="00000000">
        <w:rPr>
          <w:rtl w:val="0"/>
        </w:rPr>
        <w:t xml:space="preserve">6. Conclusion</w:t>
      </w:r>
    </w:p>
    <w:p w:rsidR="00000000" w:rsidDel="00000000" w:rsidP="00000000" w:rsidRDefault="00000000" w:rsidRPr="00000000" w14:paraId="0000002D">
      <w:pPr>
        <w:rPr/>
      </w:pPr>
      <w:r w:rsidDel="00000000" w:rsidR="00000000" w:rsidRPr="00000000">
        <w:rPr>
          <w:rtl w:val="0"/>
        </w:rPr>
        <w:t xml:space="preserve">An LLM writing product copy reproduced the category's standard health claim with a vague appeal to research that, on inspection, did not support it. A per-product claims file with cited approved claims and explicit bans, injected into every generation step, kept regenerated copy within the evidence in a small test, at negligible engineering cost. The decisive step was a human reading the sources.</w:t>
      </w:r>
    </w:p>
    <w:p w:rsidR="00000000" w:rsidDel="00000000" w:rsidP="00000000" w:rsidRDefault="00000000" w:rsidRPr="00000000" w14:paraId="0000002E">
      <w:pPr>
        <w:pStyle w:val="Heading2"/>
        <w:rPr/>
      </w:pPr>
      <w:r w:rsidDel="00000000" w:rsidR="00000000" w:rsidRPr="00000000">
        <w:rPr>
          <w:rtl w:val="0"/>
        </w:rPr>
        <w:t xml:space="preserve">AI use statement</w:t>
      </w:r>
    </w:p>
    <w:p w:rsidR="00000000" w:rsidDel="00000000" w:rsidP="00000000" w:rsidRDefault="00000000" w:rsidRPr="00000000" w14:paraId="0000002F">
      <w:pPr>
        <w:rPr/>
      </w:pPr>
      <w:r w:rsidDel="00000000" w:rsidR="00000000" w:rsidRPr="00000000">
        <w:rPr>
          <w:rtl w:val="0"/>
        </w:rPr>
        <w:t xml:space="preserve">The pipeline was implemented by AI coding agents under the author's direction, and the copy described was generated by an LLM as part of that pipeline. Claude (Anthropic) helped locate and discuss the cited studies and helped structure and draft this manuscript from the author's project records. The author reviewed all content and takes responsibility for it.</w:t>
      </w:r>
    </w:p>
    <w:p w:rsidR="00000000" w:rsidDel="00000000" w:rsidP="00000000" w:rsidRDefault="00000000" w:rsidRPr="00000000" w14:paraId="00000030">
      <w:pPr>
        <w:pStyle w:val="Heading2"/>
        <w:rPr/>
      </w:pPr>
      <w:r w:rsidDel="00000000" w:rsidR="00000000" w:rsidRPr="00000000">
        <w:rPr>
          <w:rtl w:val="0"/>
        </w:rPr>
        <w:t xml:space="preserve">References</w:t>
      </w:r>
    </w:p>
    <w:p w:rsidR="00000000" w:rsidDel="00000000" w:rsidP="00000000" w:rsidRDefault="00000000" w:rsidRPr="00000000" w14:paraId="00000031">
      <w:pPr>
        <w:rPr/>
      </w:pPr>
      <w:r w:rsidDel="00000000" w:rsidR="00000000" w:rsidRPr="00000000">
        <w:rPr>
          <w:rtl w:val="0"/>
        </w:rPr>
        <w:t xml:space="preserve">Grant, D. C. (2010). Effect of water source on intake and urine concentration in healthy cats. </w:t>
      </w:r>
      <w:r w:rsidDel="00000000" w:rsidR="00000000" w:rsidRPr="00000000">
        <w:rPr>
          <w:i w:val="1"/>
          <w:iCs w:val="1"/>
          <w:rtl w:val="0"/>
        </w:rPr>
        <w:t xml:space="preserve">Journal of Feline Medicine and Surgery</w:t>
      </w:r>
      <w:r w:rsidDel="00000000" w:rsidR="00000000" w:rsidRPr="00000000">
        <w:rPr>
          <w:rtl w:val="0"/>
        </w:rPr>
        <w:t xml:space="preserve">, 12(6), 431–434.</w:t>
      </w:r>
    </w:p>
    <w:p w:rsidR="00000000" w:rsidDel="00000000" w:rsidP="00000000" w:rsidRDefault="00000000" w:rsidRPr="00000000" w14:paraId="00000032">
      <w:pPr>
        <w:rPr/>
      </w:pPr>
      <w:r w:rsidDel="00000000" w:rsidR="00000000" w:rsidRPr="00000000">
        <w:rPr>
          <w:rtl w:val="0"/>
        </w:rPr>
        <w:t xml:space="preserve">Ji, Z., Lee, N., Frieske, R., Yu, T., Su, D., Xu, Y., Ishii, E., Bang, Y. J., Madotto, A., and Fung, P. (2023). Survey of hallucination in natural language generation. </w:t>
      </w:r>
      <w:r w:rsidDel="00000000" w:rsidR="00000000" w:rsidRPr="00000000">
        <w:rPr>
          <w:i w:val="1"/>
          <w:iCs w:val="1"/>
          <w:rtl w:val="0"/>
        </w:rPr>
        <w:t xml:space="preserve">ACM Computing Surveys</w:t>
      </w:r>
      <w:r w:rsidDel="00000000" w:rsidR="00000000" w:rsidRPr="00000000">
        <w:rPr>
          <w:rtl w:val="0"/>
        </w:rPr>
        <w:t xml:space="preserve">, 55(12).</w:t>
      </w:r>
    </w:p>
    <w:p w:rsidR="00000000" w:rsidDel="00000000" w:rsidP="00000000" w:rsidRDefault="00000000" w:rsidRPr="00000000" w14:paraId="00000033">
      <w:pPr>
        <w:rPr/>
      </w:pPr>
      <w:r w:rsidDel="00000000" w:rsidR="00000000" w:rsidRPr="00000000">
        <w:rPr>
          <w:rtl w:val="0"/>
        </w:rPr>
        <w:t xml:space="preserve">Maynez, J., Narayan, S., Bohnet, B., and McDonald, R. (2020). On faithfulness and factuality in abstractive summarization. </w:t>
      </w:r>
      <w:r w:rsidDel="00000000" w:rsidR="00000000" w:rsidRPr="00000000">
        <w:rPr>
          <w:i w:val="1"/>
          <w:iCs w:val="1"/>
          <w:rtl w:val="0"/>
        </w:rPr>
        <w:t xml:space="preserve">Proceedings of ACL 2020</w:t>
      </w:r>
      <w:r w:rsidDel="00000000" w:rsidR="00000000" w:rsidRPr="00000000">
        <w:rPr>
          <w:rtl w:val="0"/>
        </w:rPr>
        <w:t xml:space="preserve">, 1906–1919.</w:t>
      </w:r>
    </w:p>
    <w:p w:rsidR="00000000" w:rsidDel="00000000" w:rsidP="00000000" w:rsidRDefault="00000000" w:rsidRPr="00000000" w14:paraId="00000034">
      <w:pPr>
        <w:rPr/>
      </w:pPr>
      <w:r w:rsidDel="00000000" w:rsidR="00000000" w:rsidRPr="00000000">
        <w:rPr>
          <w:rtl w:val="0"/>
        </w:rPr>
        <w:t xml:space="preserve">Pachel, C., and Neilson, J. (2010). Comparison of feline water consumption between still and flowing water sources: A pilot study. </w:t>
      </w:r>
      <w:r w:rsidDel="00000000" w:rsidR="00000000" w:rsidRPr="00000000">
        <w:rPr>
          <w:i w:val="1"/>
          <w:iCs w:val="1"/>
          <w:rtl w:val="0"/>
        </w:rPr>
        <w:t xml:space="preserve">Journal of Veterinary Behavior</w:t>
      </w:r>
      <w:r w:rsidDel="00000000" w:rsidR="00000000" w:rsidRPr="00000000">
        <w:rPr>
          <w:rtl w:val="0"/>
        </w:rPr>
        <w:t xml:space="preserve">, 5(3), 130–133.</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