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b/>
          <w:bCs/>
          <w:color w:val="8B5A38"/>
          <w:sz w:val="22"/>
          <w:szCs w:val="22"/>
        </w:rPr>
        <w:t xml:space="preserve">АНАЛИТИЧЕСКИЙ ОТЧЁТ</w:t>
      </w:r>
    </w:p>
    <w:p>
      <w:pPr>
        <w:spacing w:after="120"/>
      </w:pPr>
      <w:r>
        <w:rPr>
          <w:b/>
          <w:bCs/>
          <w:sz w:val="40"/>
          <w:szCs w:val="40"/>
        </w:rPr>
        <w:t xml:space="preserve">Анализ отзывов клиентов мебельных компаний: проверка потребностей и болевых точек</w:t>
      </w:r>
    </w:p>
    <w:p>
      <w:pPr>
        <w:spacing w:after="400"/>
      </w:pPr>
      <w:r>
        <w:rPr>
          <w:color w:val="5B6B73"/>
          <w:sz w:val="22"/>
          <w:szCs w:val="22"/>
        </w:rPr>
        <w:t xml:space="preserve">Источники данных: Google Maps · Яндекс.Карты · 2ГИС  |  12 830 отзывов, 548 компаний</w:t>
      </w:r>
    </w:p>
    <w:p>
      <w:pPr>
        <w:spacing w:after="160"/>
      </w:pPr>
      <w:r>
        <w:t xml:space="preserve">Дата отчёта: июль 2026</w:t>
      </w:r>
    </w:p>
    <w:p>
      <w:pPr>
        <w:spacing w:after="160"/>
      </w:pPr>
      <w:r>
        <w:t xml:space="preserve">Методология: очистка и объединение данных на Python (pandas), rule-based категоризация тем и тональности (без внешних LLM/API), статистическая проверка гипотез (scipy.stats). BI-монитор реализован как интерактивный HTML-дашборд.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Краткое резюме</w:t>
      </w:r>
    </w:p>
    <w:p>
      <w:pPr>
        <w:spacing w:after="160"/>
      </w:pPr>
      <w:r>
        <w:t xml:space="preserve">Из пяти проверенных гипотез статистически подтвердились две, одна опровергнута, ещё одна дала обратный эффект, и одну проверить не удалось из-за нехватки данных о цене в текстах отзывов. Главный практический вывод: клиентов подводит не мебель, а процесс — доставка, коммуникация и деньги.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D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33.333333333333336%"/>
            <w:shd w:fill="ED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Гипотеза</w:t>
            </w:r>
          </w:p>
        </w:tc>
        <w:tc>
          <w:tcPr>
            <w:tcW w:type="pct" w:w="33.333333333333336%"/>
            <w:shd w:fill="ED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Вердикт</w:t>
            </w:r>
          </w:p>
        </w:tc>
      </w:tr>
      <w:t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Негатив из-за сервиса, а не качества мебели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Подтверждена</w:t>
            </w:r>
          </w:p>
        </w:tc>
      </w:tr>
      <w:t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Быстрая доставка повышает вероятность позитивной оценки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Подтверждена</w:t>
            </w:r>
          </w:p>
        </w:tc>
      </w:tr>
      <w:t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Несоответствие описанию — главная причина претензий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✗ Не подтверждена</w:t>
            </w:r>
          </w:p>
        </w:tc>
      </w:tr>
      <w:t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Мягкая мебель → более длинные/эмоциональные отзывы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✗ Не подтверждена (эффект обратный)</w:t>
            </w:r>
          </w:p>
        </w:tc>
      </w:tr>
      <w:t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Выше цена → подробнее отзыв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? Недостаточно данных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Ключевые цифры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79% отзывов положительные (4–5★), 15% негативные (1–2★), средняя оценка 4.25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Среди негативных отзывов с определённой темой жалобы: 88% касаются сервиса (доставка/персонал/деньги) против 26% — качества товара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 упоминании быстрой доставки средняя оценка 4.85★, при медленной/сорванной — 3.00★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«Доставка/сроки» — самая частая категория жалоб (2154 упоминания), «Несоответствие описанию» — самая редкая (65)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Негативные отзывы в 2–3 раза длиннее позитивных (74 слова у 1★ против 20–30 слов у 4-5★)</w:t>
      </w:r>
    </w:p>
    <w:p>
      <w:pPr>
        <w:pStyle w:val="Heading1"/>
        <w:spacing w:after="200" w:before="400"/>
      </w:pPr>
      <w:r>
        <w:t xml:space="preserve">2. Данные и методология</w:t>
      </w:r>
    </w:p>
    <w:p>
      <w:pPr>
        <w:pStyle w:val="Heading2"/>
        <w:spacing w:after="150" w:before="300"/>
      </w:pPr>
      <w:r>
        <w:t xml:space="preserve">2.1 Источники и очистка</w:t>
      </w:r>
    </w:p>
    <w:p>
      <w:pPr>
        <w:spacing w:after="160"/>
      </w:pPr>
      <w:r>
        <w:t xml:space="preserve">Три выгрузки (Google, Яндекс, 2ГИС), суммарно 12 905 строк, объединены в единый датасет после очистки: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Нормализованы форматы рейтинга (запятая → точка, извлечение числа из текста «5 звёзд» для Google)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Даты приведены к единому формату; относительные форматы («N лет назад», «сегодня») и даты без года пересчитаны от условной даты сбора данных по каждому источнику (см. ограничения)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Удалено 75 точных дублей (совпадение компании, автора, даты и текста)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Добавлены признаки: длина отзыва в словах, флаг наличия текста, индекс эмоциональности (восклицательные знаки, CAPS, эмоциональные слова)</w:t>
      </w:r>
    </w:p>
    <w:p>
      <w:pPr>
        <w:spacing w:after="160"/>
      </w:pPr>
      <w:r>
        <w:t xml:space="preserve">Итог: 12 830 отзывов, 548 уникальных названий компаний, 90.9% отзывов содержат текст.</w:t>
      </w:r>
    </w:p>
    <w:p>
      <w:pPr>
        <w:pStyle w:val="Heading2"/>
        <w:spacing w:after="150" w:before="300"/>
      </w:pPr>
      <w:r>
        <w:t xml:space="preserve">2.2 Категоризация жалоб</w:t>
      </w:r>
    </w:p>
    <w:p>
      <w:pPr>
        <w:spacing w:after="160"/>
      </w:pPr>
      <w:r>
        <w:t xml:space="preserve">Тональность и темы жалоб определены rule-based методом: словари ключевых корней слов (регулярные выражения) для 5 категорий — «Доставка/сроки», «Качество товара», «Сервис/персонал», «Цена/деньги/возврат», «Несоответствие описанию». Категории не взаимоисключающие: один отзыв может относиться к нескольким темам.</w:t>
      </w:r>
    </w:p>
    <w:p>
      <w:pPr>
        <w:spacing w:after="160"/>
      </w:pPr>
      <w:r>
        <w:t xml:space="preserve">Тип мебели (мягкая/корпусная/кровать) определялся по ключевым словам в тексте отзыва.</w:t>
      </w:r>
    </w:p>
    <w:p>
      <w:pPr>
        <w:pStyle w:val="Heading2"/>
        <w:spacing w:after="150" w:before="300"/>
      </w:pPr>
      <w:r>
        <w:t xml:space="preserve">2.3 Статистические методы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Биномиальный тест — для сравнения долей (гипотеза 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Тест Манна–Уитни (непараметрический, т.к. распределения оценок и длины отзывов несимметричны) — для сравнения групп (гипотезы 2 и 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Корреляция Спирмена — для связи цены и длины отзыва (гипотеза 5)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Уровень значимости: α = 0.05</w:t>
      </w:r>
    </w:p>
    <w:p>
      <w:pPr>
        <w:pStyle w:val="Heading2"/>
        <w:spacing w:after="150" w:before="300"/>
      </w:pPr>
      <w:r>
        <w:t xml:space="preserve">2.4 Ограничения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Категоризация rule-based, а не через LLM — возможны ложноотрицательные срабатывания (жалоба сформулирована нестандартно и не попала в словарь); оценка полноты не проводилась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Даты для части отзывов (относительные форматы) восстановлены приближённо от условной даты сбора — точность на уровне месяца, не дня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Цена товара явно упоминается лишь в ~1.3% отзывов — гипотеза 5 не может быть проверена с уверенностью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548 «уникальных» компаний вероятно включают дубли одной сети под разными названиями/адресами в разных источниках — дедупликация компаний не проводилась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Выборка сильно смещена к 2022–2024 годам (объём отзывов вырос в разы) — исторические тренды до 2020 года статистически ненадёжны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Общий анализ отзывов</w:t>
      </w:r>
    </w:p>
    <w:p>
      <w:pPr>
        <w:spacing w:after="200" w:before="120"/>
        <w:jc w:val="center"/>
      </w:pPr>
      <w:r>
        <w:drawing>
          <wp:inline distT="0" distB="0" distL="0" distR="0">
            <wp:extent cx="5524500" cy="1914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B6B73"/>
          <w:sz w:val="18"/>
          <w:szCs w:val="18"/>
        </w:rPr>
        <w:t xml:space="preserve">Рис. 1. Распределение оценок в целом и по источникам</w:t>
      </w:r>
    </w:p>
    <w:p>
      <w:pPr>
        <w:spacing w:after="160"/>
      </w:pPr>
      <w:r>
        <w:t xml:space="preserve">2ГИС и Яндекс дают похожее распределение (≈68-79% пятёрок), у Google заметно больше средних оценок (3-4★) и меньше единиц — возможно, из-за иной аудитории или механики выставления оценки.</w:t>
      </w:r>
    </w:p>
    <w:p>
      <w:pPr>
        <w:spacing w:after="200" w:before="120"/>
        <w:jc w:val="center"/>
      </w:pPr>
      <w:r>
        <w:drawing>
          <wp:inline distT="0" distB="0" distL="0" distR="0">
            <wp:extent cx="5524500" cy="248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B6B73"/>
          <w:sz w:val="18"/>
          <w:szCs w:val="18"/>
        </w:rPr>
        <w:t xml:space="preserve">Рис. 2. Число отзывов и средняя оценка по годам</w:t>
      </w:r>
    </w:p>
    <w:p>
      <w:pPr>
        <w:spacing w:after="160"/>
      </w:pPr>
      <w:r>
        <w:t xml:space="preserve">Средняя оценка растёт с 3.7-3.8 в 2016-2017 до 4.46 в 2023 году, одновременно с ростом объёма отзывов в разы. Возможные причины: реальное улучшение сервиса компаний, изменение состава представленных компаний в выборке, или смещение платформ-источников к более лояльной аудитории.</w:t>
      </w:r>
    </w:p>
    <w:p>
      <w:pPr>
        <w:spacing w:after="200" w:before="12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B6B73"/>
          <w:sz w:val="18"/>
          <w:szCs w:val="18"/>
        </w:rPr>
        <w:t xml:space="preserve">Рис. 3. Длина отзыва в зависимости от оценки</w:t>
      </w:r>
    </w:p>
    <w:p>
      <w:pPr>
        <w:spacing w:after="160"/>
      </w:pPr>
      <w:r>
        <w:t xml:space="preserve">Недовольные клиенты пишут значительно подробнее: медиана длины отзыва при 1★ — 52 слова, при 4★ — всего 10.5. Это ожидаемый эффект (люди объясняют негативный опыт подробнее), но важен для планирования модерации и приоритизации ответов поддержки.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Проверка гипотез</w:t>
      </w:r>
    </w:p>
    <w:p>
      <w:pPr>
        <w:pStyle w:val="Heading2"/>
        <w:spacing w:after="150" w:before="300"/>
      </w:pPr>
      <w:r>
        <w:t xml:space="preserve">4.1 Гипотеза 1: негатив из-за сервиса, а не качества мебели</w:t>
      </w:r>
    </w:p>
    <w:p>
      <w:pPr>
        <w:spacing w:after="160"/>
      </w:pPr>
      <w:r>
        <w:rPr>
          <w:i/>
          <w:iCs/>
        </w:rPr>
        <w:t xml:space="preserve">Формулировка: «Клиенты чаще оставляют негативные отзывы из-за уровня сервиса, а не из-за качества мебели.»</w:t>
      </w:r>
    </w:p>
    <w:p>
      <w:pPr>
        <w:spacing w:after="160"/>
      </w:pPr>
      <w:r>
        <w:t xml:space="preserve">Среди 1920 негативных отзывов (1-2★) категория жалобы определена у 1047 (54.5%). Из них: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D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Тип проблемы</w:t>
            </w:r>
          </w:p>
        </w:tc>
        <w:tc>
          <w:tcPr>
            <w:tcW w:type="pct" w:w="33.333333333333336%"/>
            <w:shd w:fill="ED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Кол-во отзывов</w:t>
            </w:r>
          </w:p>
        </w:tc>
        <w:tc>
          <w:tcPr>
            <w:tcW w:type="pct" w:w="33.333333333333336%"/>
            <w:shd w:fill="ED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Доля от размеченных</w:t>
            </w:r>
          </w:p>
        </w:tc>
      </w:tr>
      <w:t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Сервис (доставка/персонал/деньги)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920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87.9%</w:t>
            </w:r>
          </w:p>
        </w:tc>
      </w:tr>
      <w:t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Товар (качество/несоответствие)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272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26.0%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sz w:val="20"/>
          <w:szCs w:val="20"/>
        </w:rPr>
        <w:t xml:space="preserve">Биномиальный тест: p ≈ 1.25×10⁻⁸² — разница высоко значима.</w:t>
      </w:r>
    </w:p>
    <w:p>
      <w:pPr>
        <w:spacing w:after="120" w:before="100"/>
      </w:pPr>
      <w:r>
        <w:rPr>
          <w:b/>
          <w:bCs/>
        </w:rPr>
        <w:t xml:space="preserve">Вердикт: </w:t>
      </w:r>
      <w:r>
        <w:rPr>
          <w:b/>
          <w:bCs/>
          <w:color w:val="5C7A5C"/>
        </w:rPr>
        <w:t xml:space="preserve">✓ Подтверждена. Сервисные проблемы упоминаются почти в 3.4 раза чаще, чем проблемы с качеством товара.</w:t>
      </w:r>
    </w:p>
    <w:p>
      <w:pPr>
        <w:pStyle w:val="Heading2"/>
        <w:spacing w:after="150" w:before="300"/>
      </w:pPr>
      <w:r>
        <w:t xml:space="preserve">4.2 Гипотеза 2: скорость доставки влияет на оценку</w:t>
      </w:r>
    </w:p>
    <w:p>
      <w:pPr>
        <w:spacing w:after="160"/>
      </w:pPr>
      <w:r>
        <w:rPr>
          <w:i/>
          <w:iCs/>
        </w:rPr>
        <w:t xml:space="preserve">Формулировка: «Высокая скорость доставки значительно повышает вероятность получения положительной оценки.»</w:t>
      </w:r>
    </w:p>
    <w:p>
      <w:pPr>
        <w:spacing w:after="200" w:before="120"/>
        <w:jc w:val="center"/>
      </w:pPr>
      <w:r>
        <w:drawing>
          <wp:inline distT="0" distB="0" distL="0" distR="0">
            <wp:extent cx="36195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B6B73"/>
          <w:sz w:val="18"/>
          <w:szCs w:val="18"/>
        </w:rPr>
        <w:t xml:space="preserve">Рис. 4. Средняя оценка при быстрой vs медленной доставке</w:t>
      </w:r>
    </w:p>
    <w:p>
      <w:pPr>
        <w:spacing w:after="160"/>
      </w:pPr>
      <w:r>
        <w:rPr>
          <w:sz w:val="20"/>
          <w:szCs w:val="20"/>
        </w:rPr>
        <w:t xml:space="preserve">При явном упоминании быстрой доставки (n=198) средняя оценка 4.85★; при медленной или сорванной (n=141) — 3.00★. Тест Манна–Уитни: p ≈ 1.0×10⁻²⁸.</w:t>
      </w:r>
    </w:p>
    <w:p>
      <w:pPr>
        <w:spacing w:after="120" w:before="100"/>
      </w:pPr>
      <w:r>
        <w:rPr>
          <w:b/>
          <w:bCs/>
        </w:rPr>
        <w:t xml:space="preserve">Вердикт: </w:t>
      </w:r>
      <w:r>
        <w:rPr>
          <w:b/>
          <w:bCs/>
          <w:color w:val="5C7A5C"/>
        </w:rPr>
        <w:t xml:space="preserve">✓ Подтверждена. Разница почти в 2 балла — один из самых сильных эффектов в исследовании.</w:t>
      </w:r>
    </w:p>
    <w:p>
      <w:pPr>
        <w:pStyle w:val="Heading2"/>
        <w:spacing w:after="150" w:before="300"/>
      </w:pPr>
      <w:r>
        <w:t xml:space="preserve">4.3 Гипотеза 3: несоответствие описанию — главная причина претензий</w:t>
      </w:r>
    </w:p>
    <w:p>
      <w:pPr>
        <w:spacing w:after="160"/>
      </w:pPr>
      <w:r>
        <w:rPr>
          <w:i/>
          <w:iCs/>
        </w:rPr>
        <w:t xml:space="preserve">Формулировка: «Наиболее частая причина возвратов и претензий — несоответствие товара описанию.»</w:t>
      </w:r>
    </w:p>
    <w:p>
      <w:pPr>
        <w:spacing w:after="20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B6B73"/>
          <w:sz w:val="18"/>
          <w:szCs w:val="18"/>
        </w:rPr>
        <w:t xml:space="preserve">Рис. 5. Частота категорий жалоб — все отзывы vs только негативные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D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Категория</w:t>
            </w:r>
          </w:p>
        </w:tc>
        <w:tc>
          <w:tcPr>
            <w:tcW w:type="pct" w:w="33.333333333333336%"/>
            <w:shd w:fill="ED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Всего упоминаний</w:t>
            </w:r>
          </w:p>
        </w:tc>
        <w:tc>
          <w:tcPr>
            <w:tcW w:type="pct" w:w="33.333333333333336%"/>
            <w:shd w:fill="ED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Место</w:t>
            </w:r>
          </w:p>
        </w:tc>
      </w:tr>
      <w:t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Доставка/сроки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2154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Сервис/персонал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677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Цена/деньги/возврат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525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Качество товара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366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Несоответствие описанию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65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 (последнее)</w:t>
            </w:r>
          </w:p>
        </w:tc>
      </w:tr>
    </w:tbl>
    <w:p>
      <w:pPr>
        <w:spacing w:after="120"/>
      </w:pPr>
    </w:p>
    <w:p>
      <w:pPr>
        <w:spacing w:after="120" w:before="100"/>
      </w:pPr>
      <w:r>
        <w:rPr>
          <w:b/>
          <w:bCs/>
        </w:rPr>
        <w:t xml:space="preserve">Вердикт: </w:t>
      </w:r>
      <w:r>
        <w:rPr>
          <w:b/>
          <w:bCs/>
          <w:color w:val="A6453A"/>
        </w:rPr>
        <w:t xml:space="preserve">✗ Не подтверждена. «Несоответствие описанию» — наименее, а не наиболее частая категория жалоб. Лидирует «Доставка/сроки» с более чем 30-кратным перевесом.</w:t>
      </w:r>
    </w:p>
    <w:p>
      <w:pPr>
        <w:pStyle w:val="Heading2"/>
        <w:spacing w:after="150" w:before="300"/>
      </w:pPr>
      <w:r>
        <w:t xml:space="preserve">4.4 Гипотеза 4: мягкая мебель → эмоциональнее и длиннее отзывы</w:t>
      </w:r>
    </w:p>
    <w:p>
      <w:pPr>
        <w:spacing w:after="160"/>
      </w:pPr>
      <w:r>
        <w:rPr>
          <w:i/>
          <w:iCs/>
        </w:rPr>
        <w:t xml:space="preserve">Формулировка: «Покупатели мягкой мебели (диваны, кресла) оставляют более эмоциональные и длинные отзывы по сравнению с покупателями корпусной мебели.»</w:t>
      </w:r>
    </w:p>
    <w:p>
      <w:pPr>
        <w:spacing w:after="200" w:before="120"/>
        <w:jc w:val="center"/>
      </w:pPr>
      <w:r>
        <w:drawing>
          <wp:inline distT="0" distB="0" distL="0" distR="0">
            <wp:extent cx="533400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B6B73"/>
          <w:sz w:val="18"/>
          <w:szCs w:val="18"/>
        </w:rPr>
        <w:t xml:space="preserve">Рис. 6. Длина и эмоциональность отзывов: мягкая vs корпусная мебель</w:t>
      </w:r>
    </w:p>
    <w:p>
      <w:pPr>
        <w:spacing w:after="160"/>
      </w:pPr>
      <w:r>
        <w:rPr>
          <w:sz w:val="20"/>
          <w:szCs w:val="20"/>
        </w:rPr>
        <w:t xml:space="preserve">Мягкая мебель (n=1458): в среднем 43.8 слов, индекс эмоциональности 1.61.</w:t>
      </w:r>
    </w:p>
    <w:p>
      <w:pPr>
        <w:spacing w:after="160"/>
      </w:pPr>
      <w:r>
        <w:rPr>
          <w:sz w:val="20"/>
          <w:szCs w:val="20"/>
        </w:rPr>
        <w:t xml:space="preserve">Корпусная мебель (n=2662): в среднем 53.6 слов, индекс эмоциональности 1.92.</w:t>
      </w:r>
    </w:p>
    <w:p>
      <w:pPr>
        <w:spacing w:after="160"/>
      </w:pPr>
      <w:r>
        <w:rPr>
          <w:sz w:val="20"/>
          <w:szCs w:val="20"/>
        </w:rPr>
        <w:t xml:space="preserve">Оба различия статистически значимы (Манна–Уитни, p &lt; 0.001 для длины и эмоциональности), но направление обратное предполагаемому.</w:t>
      </w:r>
    </w:p>
    <w:p>
      <w:pPr>
        <w:spacing w:after="120" w:before="100"/>
      </w:pPr>
      <w:r>
        <w:rPr>
          <w:b/>
          <w:bCs/>
        </w:rPr>
        <w:t xml:space="preserve">Вердикт: </w:t>
      </w:r>
      <w:r>
        <w:rPr>
          <w:b/>
          <w:bCs/>
          <w:color w:val="A6453A"/>
        </w:rPr>
        <w:t xml:space="preserve">✗ Не подтверждена — эффект обратный. Отзывы про корпусную мебель (шкафы, кухни) длиннее и эмоциональнее, вероятно из-за более сложной логистики и монтажа (замеры, сборка на месте).</w:t>
      </w:r>
    </w:p>
    <w:p>
      <w:pPr>
        <w:pStyle w:val="Heading2"/>
        <w:spacing w:after="150" w:before="300"/>
      </w:pPr>
      <w:r>
        <w:t xml:space="preserve">4.5 Гипотеза 5: выше цена → подробнее отзыв</w:t>
      </w:r>
    </w:p>
    <w:p>
      <w:pPr>
        <w:spacing w:after="160"/>
      </w:pPr>
      <w:r>
        <w:rPr>
          <w:i/>
          <w:iCs/>
        </w:rPr>
        <w:t xml:space="preserve">Формулировка: «Чем выше цена товара, тем более подробный отзыв оставляет клиент.»</w:t>
      </w:r>
    </w:p>
    <w:p>
      <w:pPr>
        <w:spacing w:after="160"/>
      </w:pPr>
      <w:r>
        <w:t xml:space="preserve">Прямых данных о цене покупки в датасете нет. Извлечение суммы из текста отзыва (упоминания «руб»/«тыс») сработало лишь для 148 отзывов (1.3% от всех с текстом) — недостаточная и явно смещённая выборка (осознанно указывают цену обычно при жалобе на неё).</w:t>
      </w:r>
    </w:p>
    <w:p>
      <w:pPr>
        <w:spacing w:after="160"/>
      </w:pPr>
      <w:r>
        <w:rPr>
          <w:sz w:val="20"/>
          <w:szCs w:val="20"/>
        </w:rPr>
        <w:t xml:space="preserve">На этой ограниченной выборке корреляция Спирмена между суммой и длиной отзыва слабая и статистически незначима: ρ = 0.124, p = 0.132.</w:t>
      </w:r>
    </w:p>
    <w:p>
      <w:pPr>
        <w:spacing w:after="120" w:before="100"/>
      </w:pPr>
      <w:r>
        <w:rPr>
          <w:b/>
          <w:bCs/>
        </w:rPr>
        <w:t xml:space="preserve">Вердикт: </w:t>
      </w:r>
      <w:r>
        <w:rPr>
          <w:b/>
          <w:bCs/>
          <w:color w:val="5B6B73"/>
        </w:rPr>
        <w:t xml:space="preserve">? Проверить достоверно нельзя при имеющихся данных. Для полноценной проверки нужны данные о фактической стоимости заказа (из CRM/базы продаж), а не догадки по тексту отзыва.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Рекомендации бизнесу</w:t>
      </w:r>
    </w:p>
    <w:p>
      <w:pPr>
        <w:pStyle w:val="Heading2"/>
        <w:spacing w:after="150" w:before="300"/>
      </w:pPr>
      <w:r>
        <w:t xml:space="preserve">5.1 Приоритет №1 — процесс доставки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Доставка — самая частая тема жалоб (2154 упоминания, 34.8% всех негативных отзывов). Разница в оценке между быстрой и медленной доставкой — почти 2 балла (4.85★ vs 3.00★)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Внедрить SLA по срокам с автоматическим уведомлением клиента при риске задержки — сейчас часто повторяется сюжет «обещали и не привезли», судя по словам «сказали», «итоге» в топе негативных отзывов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Отслеживать % заказов, доставленных точно в срок, как ключевую метрику наравне с рейтингом</w:t>
      </w:r>
    </w:p>
    <w:p>
      <w:pPr>
        <w:pStyle w:val="Heading2"/>
        <w:spacing w:after="150" w:before="300"/>
      </w:pPr>
      <w:r>
        <w:t xml:space="preserve">5.2 Сервис и коммуникация, а не только товар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88% размеченных негативных отзывов касаются сервиса, а не качества мебели — инвестиции в обучение менеджеров и стандарты общения дадут более быстрый эффект на рейтинг, чем доработка продукта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 топе негативных слов — «менеджер», «сказали», «деньги», «магазине»: похоже на паттерн «дали неверную информацию / не вернули деньги». Стоит выборочно прослушать/перечитать такие кейсы вручную для точной диагностики</w:t>
      </w:r>
    </w:p>
    <w:p>
      <w:pPr>
        <w:pStyle w:val="Heading2"/>
        <w:spacing w:after="150" w:before="300"/>
      </w:pPr>
      <w:r>
        <w:t xml:space="preserve">5.3 Работа с длинными негативными отзывами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Негативные отзывы в 2-3 раза длиннее позитивных — это готовый источник детальной обратной связи. Приоритизировать их для ручного разбора службой поддержки/качества</w:t>
      </w:r>
    </w:p>
    <w:p>
      <w:pPr>
        <w:pStyle w:val="Heading2"/>
        <w:spacing w:after="150" w:before="300"/>
      </w:pPr>
      <w:r>
        <w:t xml:space="preserve">5.4 Корпусная мебель требует отдельного внимания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Против ожидания, именно отзывы о корпусной мебели (шкафы, кухни) длиннее и эмоциональнее, а не о диванах/креслах — вероятно из-за сборки и замеров на месте. Стоит проверить качество работы сборщиков/замерщиков отдельно от логистики</w:t>
      </w:r>
    </w:p>
    <w:p>
      <w:pPr>
        <w:pStyle w:val="Heading2"/>
        <w:spacing w:after="150" w:before="300"/>
      </w:pPr>
      <w:r>
        <w:t xml:space="preserve">5.5 Что нужно для более точных выводов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Подключить данные CRM о цене и категории товара к отзывам (для честной проверки гипотезы 5 и сегментации по чекам)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Дедуплицировать компании между источниками (сейчас 548 «имён» вероятно соответствуют меньшему числу реальных сетей)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 наличии бюджета — заменить rule-based категоризацию на LLM-классификацию (YandexGPT), это повысит долю размеченных отзывов с нынешних 55% в негативе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Приложение</w:t>
      </w:r>
    </w:p>
    <w:p>
      <w:pPr>
        <w:pStyle w:val="Heading2"/>
        <w:spacing w:after="150" w:before="300"/>
      </w:pPr>
      <w:r>
        <w:t xml:space="preserve">Материалы проекта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Интерактивный BI-дашборд: Дашборд_Мебель.html (открывается в браузере)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Очищенный и объединённый датасет: reviews_clean.xlsx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Датасет с категоризацией жалоб и типов мебели: reviews_categorized.xlsx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Код: 4 python-скрипта (очистка → EDA → категоризация → проверка гипотез), см. репозиторий проекта</w:t>
      </w:r>
    </w:p>
    <w:p>
      <w:pPr>
        <w:spacing w:after="200" w:before="120"/>
        <w:jc w:val="center"/>
      </w:pPr>
      <w:r>
        <w:drawing>
          <wp:inline distT="0" distB="0" distL="0" distR="0">
            <wp:extent cx="4000500" cy="3505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B6B73"/>
          <w:sz w:val="18"/>
          <w:szCs w:val="18"/>
        </w:rPr>
        <w:t xml:space="preserve">Рис. 7. Топ-20 слов в негативных отзывах (для справки)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2B24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</w:pPr>
    <w:rPr>
      <w:rFonts w:ascii="Georgia" w:cs="Georgia" w:eastAsia="Georgia" w:hAnsi="Georgia"/>
      <w:b/>
      <w:bCs/>
      <w:color w:val="8B5A38"/>
      <w:sz w:val="32"/>
      <w:szCs w:val="32"/>
    </w:rPr>
  </w:style>
  <w:style w:type="paragraph" w:styleId="Heading2">
    <w:name w:val="Heading 2"/>
    <w:basedOn w:val="Normal"/>
    <w:next w:val="Normal"/>
    <w:pPr>
      <w:spacing w:after="140" w:before="280"/>
    </w:pPr>
    <w:rPr>
      <w:rFonts w:ascii="Georgia" w:cs="Georgia" w:eastAsia="Georgia" w:hAnsi="Georgia"/>
      <w:b/>
      <w:bCs/>
      <w:color w:val="2B24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0840aba461e36b04432fd61007948bea369f553.png"/><Relationship Id="rId8" Type="http://schemas.openxmlformats.org/officeDocument/2006/relationships/image" Target="media/d2153dec796694b386a5578da3da4407a110ea41.png"/><Relationship Id="rId9" Type="http://schemas.openxmlformats.org/officeDocument/2006/relationships/image" Target="media/01158723bb43b1fd352e0857ae540d93c41d676e.png"/><Relationship Id="rId10" Type="http://schemas.openxmlformats.org/officeDocument/2006/relationships/image" Target="media/6a48bc242303912cf9f9c1f4fe73f41d9d8a31de.png"/><Relationship Id="rId11" Type="http://schemas.openxmlformats.org/officeDocument/2006/relationships/image" Target="media/f40884b640f4a1c28af58f0e2c6c5e97400b34bc.png"/><Relationship Id="rId12" Type="http://schemas.openxmlformats.org/officeDocument/2006/relationships/image" Target="media/912394b6b5698135bb22005838b586923ce1ef75.png"/><Relationship Id="rId13" Type="http://schemas.openxmlformats.org/officeDocument/2006/relationships/image" Target="media/e8ed5baaec61fe7d7a7de74650f6e3266d120b38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2026-07-16T04:08:55.545Z</dcterms:created>
  <dcterms:modified xsi:type="dcterms:W3CDTF">2026-07-16T04:08:55.560Z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