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3314E" w14:textId="77777777" w:rsidR="00950381" w:rsidRDefault="00000000">
      <w:pPr>
        <w:jc w:val="center"/>
        <w:sectPr w:rsidR="00950381">
          <w:footerReference w:type="even" r:id="rId8"/>
          <w:pgSz w:w="12240" w:h="15840"/>
          <w:pgMar w:top="1440" w:right="1080" w:bottom="1440" w:left="1080" w:header="720" w:footer="720" w:gutter="0"/>
          <w:pgNumType w:start="1"/>
          <w:cols w:space="720"/>
        </w:sectPr>
      </w:pPr>
      <w:r>
        <w:rPr>
          <w:rFonts w:ascii="Helvetica Neue" w:eastAsia="Helvetica Neue" w:hAnsi="Helvetica Neue" w:cs="Helvetica Neue"/>
          <w:b/>
          <w:bCs/>
          <w:sz w:val="36"/>
          <w:szCs w:val="36"/>
        </w:rPr>
        <w:t>Word Template for D7016B Final Project Report</w:t>
      </w:r>
    </w:p>
    <w:p w14:paraId="1FE74B43" w14:textId="77777777" w:rsidR="00950381" w:rsidRDefault="00000000">
      <w:pPr>
        <w:pBdr>
          <w:top w:val="nil"/>
          <w:left w:val="nil"/>
          <w:bottom w:val="nil"/>
          <w:right w:val="nil"/>
          <w:between w:val="nil"/>
        </w:pBdr>
        <w:spacing w:after="0"/>
        <w:jc w:val="center"/>
        <w:rPr>
          <w:rFonts w:ascii="Helvetica Neue" w:eastAsia="Helvetica Neue" w:hAnsi="Helvetica Neue" w:cs="Helvetica Neue"/>
          <w:color w:val="000000"/>
          <w:sz w:val="24"/>
          <w:szCs w:val="24"/>
        </w:rPr>
      </w:pPr>
      <w:r>
        <w:br w:type="column"/>
      </w:r>
      <w:r>
        <w:rPr>
          <w:rFonts w:ascii="Helvetica Neue" w:eastAsia="Helvetica Neue" w:hAnsi="Helvetica Neue" w:cs="Helvetica Neue"/>
          <w:color w:val="000000"/>
          <w:sz w:val="24"/>
          <w:szCs w:val="24"/>
        </w:rPr>
        <w:t xml:space="preserve"> Author’s Name</w:t>
      </w:r>
    </w:p>
    <w:p w14:paraId="073F1F96" w14:textId="77777777" w:rsidR="00950381" w:rsidRDefault="00000000">
      <w:pPr>
        <w:pBdr>
          <w:top w:val="nil"/>
          <w:left w:val="nil"/>
          <w:bottom w:val="nil"/>
          <w:right w:val="nil"/>
          <w:between w:val="nil"/>
        </w:pBdr>
        <w:jc w:val="center"/>
        <w:rPr>
          <w:rFonts w:ascii="Helvetica Neue" w:eastAsia="Helvetica Neue" w:hAnsi="Helvetica Neue" w:cs="Helvetica Neue"/>
          <w:color w:val="000000"/>
          <w:sz w:val="20"/>
          <w:szCs w:val="20"/>
        </w:rPr>
      </w:pPr>
      <w:r>
        <w:rPr>
          <w:rFonts w:ascii="Helvetica Neue" w:eastAsia="Helvetica Neue" w:hAnsi="Helvetica Neue" w:cs="Helvetica Neue"/>
          <w:color w:val="000000"/>
          <w:sz w:val="20"/>
          <w:szCs w:val="20"/>
        </w:rPr>
        <w:t>Author's affiliation</w:t>
      </w:r>
    </w:p>
    <w:p w14:paraId="1BAB7398" w14:textId="77777777" w:rsidR="00950381" w:rsidRDefault="00000000">
      <w:pPr>
        <w:pBdr>
          <w:top w:val="nil"/>
          <w:left w:val="nil"/>
          <w:bottom w:val="nil"/>
          <w:right w:val="nil"/>
          <w:between w:val="nil"/>
        </w:pBdr>
        <w:spacing w:after="60"/>
        <w:jc w:val="center"/>
        <w:rPr>
          <w:rFonts w:ascii="Helvetica Neue" w:eastAsia="Helvetica Neue" w:hAnsi="Helvetica Neue" w:cs="Helvetica Neue"/>
          <w:color w:val="000000"/>
          <w:sz w:val="24"/>
          <w:szCs w:val="24"/>
        </w:rPr>
      </w:pPr>
      <w:r>
        <w:rPr>
          <w:rFonts w:ascii="Helvetica Neue" w:eastAsia="Helvetica Neue" w:hAnsi="Helvetica Neue" w:cs="Helvetica Neue"/>
          <w:color w:val="000000"/>
          <w:sz w:val="24"/>
          <w:szCs w:val="24"/>
        </w:rPr>
        <w:t>E-mail</w:t>
      </w:r>
    </w:p>
    <w:p w14:paraId="1B7E473E" w14:textId="77777777" w:rsidR="00950381" w:rsidRDefault="00000000">
      <w:pPr>
        <w:pBdr>
          <w:top w:val="nil"/>
          <w:left w:val="nil"/>
          <w:bottom w:val="nil"/>
          <w:right w:val="nil"/>
          <w:between w:val="nil"/>
        </w:pBdr>
        <w:spacing w:after="0"/>
        <w:jc w:val="center"/>
        <w:rPr>
          <w:rFonts w:ascii="Helvetica Neue" w:eastAsia="Helvetica Neue" w:hAnsi="Helvetica Neue" w:cs="Helvetica Neue"/>
          <w:color w:val="000000"/>
          <w:sz w:val="24"/>
          <w:szCs w:val="24"/>
        </w:rPr>
      </w:pPr>
      <w:r>
        <w:br w:type="column"/>
      </w:r>
    </w:p>
    <w:p w14:paraId="567FD1C4" w14:textId="77777777" w:rsidR="00950381" w:rsidRDefault="00950381">
      <w:pPr>
        <w:pBdr>
          <w:top w:val="nil"/>
          <w:left w:val="nil"/>
          <w:bottom w:val="nil"/>
          <w:right w:val="nil"/>
          <w:between w:val="nil"/>
        </w:pBdr>
        <w:spacing w:after="60"/>
        <w:jc w:val="center"/>
        <w:rPr>
          <w:rFonts w:ascii="Helvetica Neue" w:eastAsia="Helvetica Neue" w:hAnsi="Helvetica Neue" w:cs="Helvetica Neue"/>
          <w:color w:val="000000"/>
          <w:sz w:val="24"/>
          <w:szCs w:val="24"/>
        </w:rPr>
        <w:sectPr w:rsidR="00950381">
          <w:type w:val="continuous"/>
          <w:pgSz w:w="12240" w:h="15840"/>
          <w:pgMar w:top="1440" w:right="1080" w:bottom="1440" w:left="1080" w:header="720" w:footer="720" w:gutter="0"/>
          <w:cols w:num="3" w:space="720" w:equalWidth="0">
            <w:col w:w="3360" w:space="0"/>
            <w:col w:w="3360" w:space="0"/>
            <w:col w:w="3360" w:space="0"/>
          </w:cols>
        </w:sectPr>
      </w:pPr>
    </w:p>
    <w:p w14:paraId="009F278B" w14:textId="77777777" w:rsidR="00950381" w:rsidRDefault="00000000">
      <w:pPr>
        <w:spacing w:after="0"/>
      </w:pPr>
      <w:r>
        <w:rPr>
          <w:b/>
          <w:bCs/>
          <w:sz w:val="24"/>
          <w:szCs w:val="24"/>
        </w:rPr>
        <w:t>ABSTRACT</w:t>
      </w:r>
    </w:p>
    <w:p w14:paraId="74BCC314" w14:textId="77777777" w:rsidR="00950381" w:rsidRDefault="00000000">
      <w:pPr>
        <w:keepNext/>
        <w:pBdr>
          <w:top w:val="nil"/>
          <w:left w:val="nil"/>
          <w:bottom w:val="nil"/>
          <w:right w:val="nil"/>
          <w:between w:val="nil"/>
        </w:pBdr>
        <w:spacing w:after="120"/>
        <w:rPr>
          <w:color w:val="000000"/>
        </w:rPr>
      </w:pPr>
      <w:r>
        <w:rPr>
          <w:color w:val="000000"/>
        </w:rPr>
        <w:t>In this report, we describe the formatting guidelines for D7016B Course’s report.  The abstract is to be in 9-point, single-spaced type, and up to 250 words in length. Leave two blank lines after the abstract, then begin the main text.</w:t>
      </w:r>
    </w:p>
    <w:p w14:paraId="0894D054" w14:textId="77777777" w:rsidR="00950381" w:rsidRDefault="00000000">
      <w:pPr>
        <w:spacing w:before="120" w:after="0"/>
      </w:pPr>
      <w:r>
        <w:rPr>
          <w:b/>
          <w:bCs/>
          <w:sz w:val="24"/>
          <w:szCs w:val="24"/>
        </w:rPr>
        <w:t>Keywords</w:t>
      </w:r>
    </w:p>
    <w:p w14:paraId="5008E17C" w14:textId="5130D193" w:rsidR="00950381" w:rsidRDefault="00000000">
      <w:pPr>
        <w:spacing w:after="120"/>
      </w:pPr>
      <w:r>
        <w:t>Point cloud processing; railway track geometry;</w:t>
      </w:r>
      <w:r w:rsidR="00FA4668">
        <w:t xml:space="preserve"> LiDAR; point-cloud processing; Catmull-rom</w:t>
      </w:r>
      <w:r>
        <w:t xml:space="preserve">; </w:t>
      </w:r>
      <w:proofErr w:type="spellStart"/>
      <w:r>
        <w:t>eMaintenance</w:t>
      </w:r>
      <w:proofErr w:type="spellEnd"/>
      <w:r>
        <w:t>; Industrial AI</w:t>
      </w:r>
    </w:p>
    <w:p w14:paraId="7FBF2A02" w14:textId="77777777" w:rsidR="00950381" w:rsidRDefault="00000000">
      <w:pPr>
        <w:pStyle w:val="Rubrik1"/>
        <w:numPr>
          <w:ilvl w:val="0"/>
          <w:numId w:val="1"/>
        </w:numPr>
        <w:spacing w:before="120"/>
      </w:pPr>
      <w:r>
        <w:t>INTRODUCTION</w:t>
      </w:r>
    </w:p>
    <w:p w14:paraId="63BB985E" w14:textId="31080C36" w:rsidR="00950381" w:rsidRDefault="00000000">
      <w:pPr>
        <w:pBdr>
          <w:top w:val="nil"/>
          <w:left w:val="nil"/>
          <w:bottom w:val="nil"/>
          <w:right w:val="nil"/>
          <w:between w:val="nil"/>
        </w:pBdr>
        <w:spacing w:after="120"/>
      </w:pPr>
      <w:r>
        <w:t>The railway is likely to become a core pillar of future transport by 2050. This however relies on major improvements in infrastructure, digitalization, and therefore maintenance</w:t>
      </w:r>
      <w:r w:rsidR="006C209F">
        <w:t xml:space="preserve"> </w:t>
      </w:r>
      <w:hyperlink w:anchor="Ref1" w:history="1">
        <w:r w:rsidR="006C209F" w:rsidRPr="006C209F">
          <w:rPr>
            <w:rStyle w:val="Hyperlnk"/>
          </w:rPr>
          <w:t>[1]</w:t>
        </w:r>
      </w:hyperlink>
      <w:r w:rsidR="006C209F">
        <w:t xml:space="preserve">. </w:t>
      </w:r>
      <w:r>
        <w:t>Railway track degrades continuously under traffic, and the consequences of derailment can be very costly and dangerous. For instance, on 17 December 2023, in the north of Sweden a derailment stopped LKAB’s iron ore transport for 65 days, causing an estimated loss of 100 million SEK in revenue per day - 6,5 billion SEK in total</w:t>
      </w:r>
      <w:r w:rsidR="006C209F">
        <w:t xml:space="preserve"> </w:t>
      </w:r>
      <w:hyperlink w:anchor="Ref2" w:history="1">
        <w:r w:rsidR="006C209F" w:rsidRPr="006C209F">
          <w:rPr>
            <w:rStyle w:val="Hyperlnk"/>
          </w:rPr>
          <w:t>[2</w:t>
        </w:r>
        <w:r w:rsidR="006C209F" w:rsidRPr="006C209F">
          <w:rPr>
            <w:rStyle w:val="Hyperlnk"/>
          </w:rPr>
          <w:t>]</w:t>
        </w:r>
      </w:hyperlink>
      <w:r w:rsidR="006C209F">
        <w:t>.</w:t>
      </w:r>
    </w:p>
    <w:p w14:paraId="2ED141EA" w14:textId="77777777" w:rsidR="00950381" w:rsidRDefault="00000000">
      <w:pPr>
        <w:pBdr>
          <w:top w:val="nil"/>
          <w:left w:val="nil"/>
          <w:bottom w:val="nil"/>
          <w:right w:val="nil"/>
          <w:between w:val="nil"/>
        </w:pBdr>
        <w:spacing w:after="120"/>
      </w:pPr>
      <w:r>
        <w:t xml:space="preserve">The investigation found that the derailment began with a fatigue crack in the flange of one wheel, damaging about 15 </w:t>
      </w:r>
      <w:proofErr w:type="spellStart"/>
      <w:r>
        <w:t>kilometers</w:t>
      </w:r>
      <w:proofErr w:type="spellEnd"/>
      <w:r>
        <w:t xml:space="preserve"> of track before several wagons derailed. The wheel had met applicable standards with no problems reported in its maintenance history (</w:t>
      </w:r>
      <w:hyperlink r:id="rId9">
        <w:r w:rsidR="00950381">
          <w:rPr>
            <w:color w:val="1155CC"/>
            <w:u w:val="single"/>
          </w:rPr>
          <w:t>KÄLLA 4</w:t>
        </w:r>
      </w:hyperlink>
      <w:r>
        <w:t>). A European cost-benefit study also found that wheel failures had the highest projected cumulative cost among the eight derailment causes that were examined (</w:t>
      </w:r>
      <w:hyperlink r:id="rId10">
        <w:r w:rsidR="00950381">
          <w:rPr>
            <w:color w:val="1155CC"/>
            <w:u w:val="single"/>
          </w:rPr>
          <w:t>KÄLLA 3</w:t>
        </w:r>
      </w:hyperlink>
      <w:r>
        <w:t xml:space="preserve">). Studies show that poor track conditions can increase wheel and rail wear, reduce stability, and raise the risk of </w:t>
      </w:r>
      <w:proofErr w:type="gramStart"/>
      <w:r>
        <w:t>derailment  (</w:t>
      </w:r>
      <w:proofErr w:type="gramEnd"/>
      <w:r>
        <w:fldChar w:fldCharType="begin"/>
      </w:r>
      <w:r>
        <w:instrText>HYPERLINK "https://research.chalmers.se/publication/533804/file/533804_Fulltext.pdf" \h</w:instrText>
      </w:r>
      <w:r>
        <w:fldChar w:fldCharType="separate"/>
      </w:r>
      <w:r>
        <w:rPr>
          <w:color w:val="1155CC"/>
          <w:u w:val="single"/>
        </w:rPr>
        <w:t>Maglio, 2023</w:t>
      </w:r>
      <w:r>
        <w:fldChar w:fldCharType="end"/>
      </w:r>
      <w:r>
        <w:t xml:space="preserve">; </w:t>
      </w:r>
      <w:hyperlink r:id="rId11">
        <w:r w:rsidR="00950381">
          <w:rPr>
            <w:color w:val="1155CC"/>
            <w:u w:val="single"/>
          </w:rPr>
          <w:t>Hu et al., 2025</w:t>
        </w:r>
      </w:hyperlink>
      <w:r>
        <w:t xml:space="preserve">; </w:t>
      </w:r>
      <w:hyperlink r:id="rId12">
        <w:r w:rsidR="00950381">
          <w:rPr>
            <w:color w:val="1155CC"/>
            <w:u w:val="single"/>
          </w:rPr>
          <w:t>Yadav et al., 2026</w:t>
        </w:r>
      </w:hyperlink>
      <w:r>
        <w:t xml:space="preserve">). </w:t>
      </w:r>
    </w:p>
    <w:p w14:paraId="2CDA79D6" w14:textId="77777777" w:rsidR="00950381" w:rsidRDefault="00000000">
      <w:pPr>
        <w:pBdr>
          <w:top w:val="nil"/>
          <w:left w:val="nil"/>
          <w:bottom w:val="nil"/>
          <w:right w:val="nil"/>
          <w:between w:val="nil"/>
        </w:pBdr>
        <w:spacing w:after="120"/>
      </w:pPr>
      <w:r>
        <w:t>Today, beyond safety concerns, worn or defective tracks require temporary speed restrictions, and track downtime until repairs are completed. This leads to delays, reduced availability, higher maintenance and operating costs (</w:t>
      </w:r>
      <w:hyperlink r:id="rId13">
        <w:r w:rsidR="00950381">
          <w:rPr>
            <w:color w:val="1155CC"/>
            <w:u w:val="single"/>
          </w:rPr>
          <w:t>Network Rail, 2026</w:t>
        </w:r>
      </w:hyperlink>
      <w:r>
        <w:t xml:space="preserve">).  </w:t>
      </w:r>
    </w:p>
    <w:p w14:paraId="1890880A" w14:textId="040B375D" w:rsidR="006C428D" w:rsidRDefault="00000000" w:rsidP="00234873">
      <w:pPr>
        <w:pBdr>
          <w:top w:val="nil"/>
          <w:left w:val="nil"/>
          <w:bottom w:val="nil"/>
          <w:right w:val="nil"/>
          <w:between w:val="nil"/>
        </w:pBdr>
        <w:spacing w:after="120"/>
      </w:pPr>
      <w:r>
        <w:t xml:space="preserve">Downtime reflects weakness in the railway infrastructure and makes the railway less reliable as a core pillar for future transport. With digitalization growing exponentially, </w:t>
      </w:r>
      <w:proofErr w:type="spellStart"/>
      <w:r>
        <w:t>eMaintenance</w:t>
      </w:r>
      <w:proofErr w:type="spellEnd"/>
      <w:r>
        <w:t xml:space="preserve"> can be utilized toward a more proactive approach. </w:t>
      </w:r>
      <w:proofErr w:type="spellStart"/>
      <w:r>
        <w:t>eMaintenance</w:t>
      </w:r>
      <w:proofErr w:type="spellEnd"/>
      <w:r>
        <w:t xml:space="preserve"> can be described as the modern way of maintenance management utilizing technology and digital solutions such as sensors, IoT, and software to monitor data from for example equipment or machines. The purpose of </w:t>
      </w:r>
      <w:proofErr w:type="spellStart"/>
      <w:r>
        <w:t>eMaintenance</w:t>
      </w:r>
      <w:proofErr w:type="spellEnd"/>
      <w:r>
        <w:t xml:space="preserve"> is to “predict and prevent”, not “fail and fix” (</w:t>
      </w:r>
      <w:proofErr w:type="spellStart"/>
      <w:r>
        <w:fldChar w:fldCharType="begin"/>
      </w:r>
      <w:r>
        <w:instrText>HYPERLINK "https://www.sciencedirect.com/science/article/pii/S1367578809000546?" \h</w:instrText>
      </w:r>
      <w:r>
        <w:fldChar w:fldCharType="separate"/>
      </w:r>
      <w:r>
        <w:rPr>
          <w:color w:val="1155CC"/>
          <w:u w:val="single"/>
        </w:rPr>
        <w:t>Iung</w:t>
      </w:r>
      <w:proofErr w:type="spellEnd"/>
      <w:r>
        <w:rPr>
          <w:color w:val="1155CC"/>
          <w:u w:val="single"/>
        </w:rPr>
        <w:t xml:space="preserve"> et al., 2009</w:t>
      </w:r>
      <w:r>
        <w:fldChar w:fldCharType="end"/>
      </w:r>
      <w:r>
        <w:t>). By doing this, it enables maintenance planning to be more proactive, reducing downtime, and increasing the life span of equipment. In an industrial context, this creates value for organizations as it allows them to save resources, increase productivity and efficiency (</w:t>
      </w:r>
      <w:hyperlink r:id="rId14">
        <w:r w:rsidR="00950381">
          <w:rPr>
            <w:color w:val="1155CC"/>
            <w:u w:val="single"/>
          </w:rPr>
          <w:t>Candell &amp; Karim, 2008</w:t>
        </w:r>
      </w:hyperlink>
      <w:r>
        <w:t xml:space="preserve">; </w:t>
      </w:r>
      <w:hyperlink r:id="rId15">
        <w:proofErr w:type="spellStart"/>
        <w:r w:rsidR="00950381">
          <w:rPr>
            <w:color w:val="1155CC"/>
            <w:u w:val="single"/>
          </w:rPr>
          <w:t>Kajko</w:t>
        </w:r>
        <w:proofErr w:type="spellEnd"/>
        <w:r w:rsidR="00950381">
          <w:rPr>
            <w:color w:val="1155CC"/>
            <w:u w:val="single"/>
          </w:rPr>
          <w:t>-Mattsson et al., 2010</w:t>
        </w:r>
      </w:hyperlink>
      <w:r>
        <w:t xml:space="preserve">; </w:t>
      </w:r>
      <w:hyperlink r:id="rId16">
        <w:proofErr w:type="spellStart"/>
        <w:r w:rsidR="00950381">
          <w:rPr>
            <w:color w:val="1155CC"/>
            <w:u w:val="single"/>
          </w:rPr>
          <w:t>Iung</w:t>
        </w:r>
        <w:proofErr w:type="spellEnd"/>
        <w:r w:rsidR="00950381">
          <w:rPr>
            <w:color w:val="1155CC"/>
            <w:u w:val="single"/>
          </w:rPr>
          <w:t xml:space="preserve"> et al., 2009</w:t>
        </w:r>
      </w:hyperlink>
      <w:r>
        <w:t>).</w:t>
      </w:r>
    </w:p>
    <w:p w14:paraId="06ADB1B0" w14:textId="5E8979BF" w:rsidR="00A25C97" w:rsidRDefault="00A25C97" w:rsidP="00A25C97">
      <w:pPr>
        <w:spacing w:after="120"/>
      </w:pPr>
      <w:r>
        <w:t xml:space="preserve">Especially of interest if how track geometry changes over time. There are several methods to quantify this. One way to use TQI (track quality index), which aggregates geometric deviations from </w:t>
      </w:r>
      <w:r>
        <w:t xml:space="preserve">five geometry parameters: gauge, cross-level, </w:t>
      </w:r>
      <w:proofErr w:type="gramStart"/>
      <w:r>
        <w:t>cant</w:t>
      </w:r>
      <w:proofErr w:type="gramEnd"/>
      <w:r>
        <w:t>, twist, and surface (</w:t>
      </w:r>
      <w:r w:rsidRPr="00996ADA">
        <w:t>Sharma et al. (2018)</w:t>
      </w:r>
      <w:r>
        <w:t xml:space="preserve">). These features can in theory be extracted using LiDAR point cloud, but </w:t>
      </w:r>
      <w:r>
        <w:t>four</w:t>
      </w:r>
      <w:r>
        <w:t xml:space="preserve"> of these features require heights independent of the measuring platform</w:t>
      </w:r>
      <w:r>
        <w:t xml:space="preserve"> (</w:t>
      </w:r>
      <w:r w:rsidRPr="00A25C97">
        <w:t>gauge, cross-level, can’t, twist, and surface</w:t>
      </w:r>
      <w:r>
        <w:t>)</w:t>
      </w:r>
      <w:r>
        <w:t xml:space="preserve">. This means that if </w:t>
      </w:r>
      <w:r>
        <w:t xml:space="preserve">LiDAR </w:t>
      </w:r>
      <w:r>
        <w:t xml:space="preserve">data is collected on a vehicle that itself rides on the </w:t>
      </w:r>
      <w:r>
        <w:t>track</w:t>
      </w:r>
      <w:r>
        <w:t xml:space="preserve"> the differences cancel out, and only gauge, lateral alignment and relative height can be followed.</w:t>
      </w:r>
    </w:p>
    <w:p w14:paraId="7A24885D" w14:textId="351BA96C" w:rsidR="00FA4668" w:rsidRDefault="00A25C97" w:rsidP="001E4708">
      <w:pPr>
        <w:spacing w:after="120"/>
      </w:pPr>
      <w:r>
        <w:t xml:space="preserve">Sharma et al. (2018) note that because </w:t>
      </w:r>
      <w:r w:rsidR="005970AE">
        <w:t xml:space="preserve">the </w:t>
      </w:r>
      <w:r>
        <w:t xml:space="preserve">TQI is aggregated it can miss severe spot failures. </w:t>
      </w:r>
      <w:r w:rsidR="00B37E3F">
        <w:t xml:space="preserve">Because </w:t>
      </w:r>
      <w:r w:rsidR="005970AE">
        <w:t xml:space="preserve">the </w:t>
      </w:r>
      <w:r w:rsidR="00B37E3F">
        <w:t xml:space="preserve">TQI gives one number per segment, runs can only be compared segment by segment. </w:t>
      </w:r>
      <w:r>
        <w:t xml:space="preserve">Using point cloud and tracking the points as a 3D curve in a fixed frame it allows for a second representation </w:t>
      </w:r>
      <w:r w:rsidR="00B37E3F">
        <w:t xml:space="preserve">that allows point-to-point comparison between runs and differences expressed in millimetres. The curve shows how the geometry has changed, while still holding enough information to derive </w:t>
      </w:r>
      <w:r w:rsidR="005970AE">
        <w:t xml:space="preserve">the </w:t>
      </w:r>
      <w:r w:rsidR="00B37E3F">
        <w:t>TQI afterwards.</w:t>
      </w:r>
    </w:p>
    <w:p w14:paraId="4AF991BE" w14:textId="10294872" w:rsidR="00FA4668" w:rsidRDefault="005970AE" w:rsidP="001E4708">
      <w:pPr>
        <w:spacing w:after="120"/>
      </w:pPr>
      <w:r>
        <w:t xml:space="preserve">Splines have previously been used to represent track </w:t>
      </w:r>
      <w:proofErr w:type="gramStart"/>
      <w:r>
        <w:t>before:</w:t>
      </w:r>
      <w:proofErr w:type="gramEnd"/>
      <w:r>
        <w:t xml:space="preserve"> a continuous 3D cubic spline built from camera images and GNSS </w:t>
      </w:r>
      <w:r w:rsidR="00B1504B">
        <w:t>(</w:t>
      </w:r>
      <w:r w:rsidR="00B1504B" w:rsidRPr="00B1504B">
        <w:t>Global Navigation Satellite System</w:t>
      </w:r>
      <w:r w:rsidR="00B1504B">
        <w:t xml:space="preserve">) </w:t>
      </w:r>
      <w:r>
        <w:t>(</w:t>
      </w:r>
      <w:proofErr w:type="spellStart"/>
      <w:r>
        <w:t>Glira</w:t>
      </w:r>
      <w:proofErr w:type="spellEnd"/>
      <w:r>
        <w:t xml:space="preserve"> et al., 2022) and </w:t>
      </w:r>
      <w:proofErr w:type="spellStart"/>
      <w:r>
        <w:t>Bézier</w:t>
      </w:r>
      <w:proofErr w:type="spellEnd"/>
      <w:r>
        <w:t xml:space="preserve"> curves fitted through modelled rail pieces (Díaz Benito, 2012). These methods rely on data parameters </w:t>
      </w:r>
      <w:r w:rsidR="00B1504B">
        <w:t>this project</w:t>
      </w:r>
      <w:r>
        <w:t xml:space="preserve"> dataset lacks, such as camera images with GNSS</w:t>
      </w:r>
      <w:r w:rsidR="00B1504B">
        <w:t xml:space="preserve">. A less investigated method is to build the curve with a Catmull-Rom spline. Catmull-Rom passed through every control point and each segment depends on its four nearest points (Catmull &amp; Rom, 1974). </w:t>
      </w:r>
      <w:r w:rsidR="000E0DD5">
        <w:t xml:space="preserve">This means that if the track changes at one specific point, the curve changes at that place and nowhere else, whereas an index such as TQI averages to one number per section, causing the location and size of the change to be lost and, as previously mentioned by Sharma et al. (2018) severe spot failures to be potentially missed. </w:t>
      </w:r>
    </w:p>
    <w:p w14:paraId="010E1447" w14:textId="2CB2FA3C" w:rsidR="001E4708" w:rsidRDefault="000E0DD5" w:rsidP="001E4708">
      <w:pPr>
        <w:spacing w:after="120"/>
      </w:pPr>
      <w:r>
        <w:t xml:space="preserve">Because of limited data availability, this study </w:t>
      </w:r>
      <w:r w:rsidR="00596254">
        <w:t xml:space="preserve">is </w:t>
      </w:r>
      <w:r>
        <w:t>exploratory. It appl</w:t>
      </w:r>
      <w:r w:rsidR="00596254">
        <w:t>ies</w:t>
      </w:r>
      <w:r>
        <w:t xml:space="preserve"> a centripetal Catmull-Rom representation to a using a LiDAR point cloud of a specific line</w:t>
      </w:r>
      <w:r w:rsidR="00596254">
        <w:t>, buil</w:t>
      </w:r>
      <w:r w:rsidR="00094CB4">
        <w:t>d</w:t>
      </w:r>
      <w:r w:rsidR="00596254">
        <w:t>s a pipeline that turns a run into a repeatable 3D curve in a fixed reference frame, and derives features such as gauge, alignment, a per-section TQI. Since only on run of the same track was available, the comparison between runs could not be made. Instead, the study measures how repeatable the curve is and how small a change it can detect. The aim is to</w:t>
      </w:r>
      <w:r w:rsidR="00234873">
        <w:t xml:space="preserve"> increase available research and </w:t>
      </w:r>
      <w:proofErr w:type="gramStart"/>
      <w:r w:rsidR="00234873">
        <w:t>open up</w:t>
      </w:r>
      <w:proofErr w:type="gramEnd"/>
      <w:r w:rsidR="00234873">
        <w:t xml:space="preserve"> to further work in the area. Future work research could be, but is not limited to:</w:t>
      </w:r>
    </w:p>
    <w:p w14:paraId="0A5E68B2" w14:textId="0FA37686" w:rsidR="00234873" w:rsidRDefault="00234873" w:rsidP="00234873">
      <w:pPr>
        <w:pStyle w:val="Liststycke"/>
        <w:numPr>
          <w:ilvl w:val="0"/>
          <w:numId w:val="5"/>
        </w:numPr>
        <w:spacing w:after="120"/>
      </w:pPr>
      <w:r>
        <w:t>Comparing real runs of the same line and measuring positioning error between them</w:t>
      </w:r>
    </w:p>
    <w:p w14:paraId="54A24CDF" w14:textId="3BC1BE17" w:rsidR="00234873" w:rsidRDefault="00234873" w:rsidP="00234873">
      <w:pPr>
        <w:pStyle w:val="Liststycke"/>
        <w:numPr>
          <w:ilvl w:val="0"/>
          <w:numId w:val="5"/>
        </w:numPr>
        <w:spacing w:after="120"/>
      </w:pPr>
      <w:r>
        <w:t>Applying similar pipeline to point clouds with a levelled height, so that cross-level, twist and surface can be followed</w:t>
      </w:r>
    </w:p>
    <w:p w14:paraId="136C85AA" w14:textId="24A51CAA" w:rsidR="00234873" w:rsidRDefault="00234873" w:rsidP="00234873">
      <w:pPr>
        <w:pStyle w:val="Liststycke"/>
        <w:numPr>
          <w:ilvl w:val="0"/>
          <w:numId w:val="5"/>
        </w:numPr>
        <w:spacing w:after="120"/>
      </w:pPr>
      <w:r>
        <w:t>Validating the LiDAR-derived gauge against track-recording-car measurements</w:t>
      </w:r>
    </w:p>
    <w:p w14:paraId="3352B490" w14:textId="116B69BA" w:rsidR="00234873" w:rsidRDefault="00234873" w:rsidP="00234873">
      <w:pPr>
        <w:pStyle w:val="Liststycke"/>
        <w:numPr>
          <w:ilvl w:val="0"/>
          <w:numId w:val="5"/>
        </w:numPr>
        <w:spacing w:after="120"/>
      </w:pPr>
      <w:r>
        <w:t>Following the curve differences and the TQI over several runs to model track degradation</w:t>
      </w:r>
    </w:p>
    <w:p w14:paraId="50E8657A" w14:textId="69EEAA61" w:rsidR="00234873" w:rsidRDefault="00234873" w:rsidP="00234873">
      <w:pPr>
        <w:pStyle w:val="Liststycke"/>
        <w:numPr>
          <w:ilvl w:val="0"/>
          <w:numId w:val="5"/>
        </w:numPr>
        <w:spacing w:after="120"/>
      </w:pPr>
      <w:r>
        <w:t>Linking detected geometry changes to maintenance records, or to vibration data to look for patterns</w:t>
      </w:r>
    </w:p>
    <w:p w14:paraId="425226F1" w14:textId="2A866644" w:rsidR="00950381" w:rsidRDefault="00000000" w:rsidP="001E4708">
      <w:pPr>
        <w:spacing w:after="120"/>
      </w:pPr>
      <w:r>
        <w:lastRenderedPageBreak/>
        <w:t>PAGE SIZE</w:t>
      </w:r>
    </w:p>
    <w:p w14:paraId="70C28BD7" w14:textId="712DFA6F" w:rsidR="00A25C97" w:rsidRDefault="00000000" w:rsidP="00234873">
      <w:pPr>
        <w:pBdr>
          <w:top w:val="nil"/>
          <w:left w:val="nil"/>
          <w:bottom w:val="nil"/>
          <w:right w:val="nil"/>
          <w:between w:val="nil"/>
        </w:pBdr>
        <w:spacing w:after="120"/>
        <w:rPr>
          <w:color w:val="000000"/>
        </w:rPr>
      </w:pPr>
      <w:r>
        <w:rPr>
          <w:color w:val="000000"/>
        </w:rPr>
        <w:t>All material on each page should fit within a rectangle of 18 x 23.5 cm (7" x 9.25"), centred on the page, beginning 2.54 cm (1") from the top of the page and ending with 2.54 cm (1") from the bottom.  The right and left margins should be 1.9 cm (.75”</w:t>
      </w:r>
      <w:proofErr w:type="gramStart"/>
      <w:r>
        <w:rPr>
          <w:color w:val="000000"/>
        </w:rPr>
        <w:t>).The</w:t>
      </w:r>
      <w:proofErr w:type="gramEnd"/>
      <w:r>
        <w:rPr>
          <w:color w:val="000000"/>
        </w:rPr>
        <w:t xml:space="preserve"> text should be in two 8.45 cm (3.33") columns with a .83 cm (.33") gutter.</w:t>
      </w:r>
    </w:p>
    <w:p w14:paraId="4148D43F" w14:textId="77777777" w:rsidR="00950381" w:rsidRDefault="00950381">
      <w:pPr>
        <w:pBdr>
          <w:top w:val="nil"/>
          <w:left w:val="nil"/>
          <w:bottom w:val="nil"/>
          <w:right w:val="nil"/>
          <w:between w:val="nil"/>
        </w:pBdr>
        <w:spacing w:after="120"/>
        <w:rPr>
          <w:color w:val="000000"/>
        </w:rPr>
      </w:pPr>
    </w:p>
    <w:p w14:paraId="54EF0A0C" w14:textId="77777777" w:rsidR="00950381" w:rsidRDefault="00000000">
      <w:pPr>
        <w:pStyle w:val="Rubrik1"/>
        <w:numPr>
          <w:ilvl w:val="0"/>
          <w:numId w:val="1"/>
        </w:numPr>
        <w:spacing w:before="120"/>
      </w:pPr>
      <w:r>
        <w:t>TYPESET TEXT</w:t>
      </w:r>
    </w:p>
    <w:p w14:paraId="71615EAD" w14:textId="77777777" w:rsidR="00950381" w:rsidRDefault="00000000">
      <w:pPr>
        <w:pStyle w:val="Rubrik2"/>
        <w:numPr>
          <w:ilvl w:val="1"/>
          <w:numId w:val="1"/>
        </w:numPr>
        <w:spacing w:before="0"/>
      </w:pPr>
      <w:r>
        <w:t>Normal or Body Text</w:t>
      </w:r>
    </w:p>
    <w:p w14:paraId="3F79F767" w14:textId="77777777" w:rsidR="00950381" w:rsidRDefault="00000000">
      <w:pPr>
        <w:pBdr>
          <w:top w:val="nil"/>
          <w:left w:val="nil"/>
          <w:bottom w:val="nil"/>
          <w:right w:val="nil"/>
          <w:between w:val="nil"/>
        </w:pBdr>
        <w:spacing w:after="120"/>
        <w:rPr>
          <w:color w:val="000000"/>
        </w:rPr>
      </w:pPr>
      <w:r>
        <w:rPr>
          <w:color w:val="000000"/>
        </w:rPr>
        <w:t>Please use a 9-point Times Roman font, or other Roman font with serifs, as close as possible in appearance to Times Roman in which these guidelines have been set. The goal is to have a 9-point text, as you see here. Please use sans-serif or non-proportional fonts only for special purposes, such as distinguishing source code text. If Times Roman is not available, try the font named Computer Modern Roman. On a Macintosh, use the font named Times.  Right margins should be justified, not ragged.</w:t>
      </w:r>
    </w:p>
    <w:p w14:paraId="4514FB44" w14:textId="77777777" w:rsidR="00950381" w:rsidRDefault="00000000">
      <w:pPr>
        <w:pStyle w:val="Rubrik2"/>
        <w:numPr>
          <w:ilvl w:val="1"/>
          <w:numId w:val="1"/>
        </w:numPr>
        <w:spacing w:before="120"/>
      </w:pPr>
      <w:r>
        <w:t>Title and Authors</w:t>
      </w:r>
    </w:p>
    <w:p w14:paraId="50F8392B" w14:textId="77777777" w:rsidR="00950381" w:rsidRDefault="00000000">
      <w:pPr>
        <w:spacing w:after="120"/>
      </w:pPr>
      <w:r>
        <w:t xml:space="preserve">The title (Helvetica 18-point bold), authors' names (Helvetica 12-point) and affiliations (Helvetica 10-point) run across the full width of the page – one column wide. We also recommend phone number (Helvetica 10-point) and e-mail address (Helvetica 12-point). See the top of this page for three addresses. If only one address is needed, </w:t>
      </w:r>
      <w:proofErr w:type="spellStart"/>
      <w:r>
        <w:t>center</w:t>
      </w:r>
      <w:proofErr w:type="spellEnd"/>
      <w:r>
        <w:t xml:space="preserve"> all address text. For two addresses, use two </w:t>
      </w:r>
      <w:proofErr w:type="spellStart"/>
      <w:r>
        <w:t>centered</w:t>
      </w:r>
      <w:proofErr w:type="spellEnd"/>
      <w:r>
        <w:t xml:space="preserve"> tabs, and so on. For more than three authors, you may have to improvise.</w:t>
      </w:r>
    </w:p>
    <w:p w14:paraId="5DB5FBD0" w14:textId="77777777" w:rsidR="00950381" w:rsidRDefault="00000000">
      <w:pPr>
        <w:pStyle w:val="Rubrik2"/>
        <w:numPr>
          <w:ilvl w:val="1"/>
          <w:numId w:val="1"/>
        </w:numPr>
        <w:spacing w:before="120"/>
      </w:pPr>
      <w:r>
        <w:t>First Page Copyright Notice</w:t>
      </w:r>
    </w:p>
    <w:p w14:paraId="298A488F" w14:textId="77777777" w:rsidR="00950381" w:rsidRDefault="00000000">
      <w:pPr>
        <w:pBdr>
          <w:top w:val="nil"/>
          <w:left w:val="nil"/>
          <w:bottom w:val="nil"/>
          <w:right w:val="nil"/>
          <w:between w:val="nil"/>
        </w:pBdr>
        <w:spacing w:after="120"/>
        <w:rPr>
          <w:color w:val="000000"/>
        </w:rPr>
      </w:pPr>
      <w:r>
        <w:rPr>
          <w:color w:val="000000"/>
        </w:rPr>
        <w:t>Please leave 3.81 cm (1.5") of blank text box at the bottom of the left column of the first page for the copyright notice.</w:t>
      </w:r>
    </w:p>
    <w:p w14:paraId="390E624D" w14:textId="77777777" w:rsidR="00950381" w:rsidRDefault="00000000">
      <w:pPr>
        <w:pStyle w:val="Rubrik2"/>
        <w:numPr>
          <w:ilvl w:val="1"/>
          <w:numId w:val="1"/>
        </w:numPr>
        <w:spacing w:before="120"/>
      </w:pPr>
      <w:r>
        <w:t>Subsequent Pages</w:t>
      </w:r>
    </w:p>
    <w:p w14:paraId="77DE0155" w14:textId="77777777" w:rsidR="00950381" w:rsidRDefault="00000000">
      <w:pPr>
        <w:pBdr>
          <w:top w:val="nil"/>
          <w:left w:val="nil"/>
          <w:bottom w:val="nil"/>
          <w:right w:val="nil"/>
          <w:between w:val="nil"/>
        </w:pBdr>
        <w:spacing w:after="120"/>
        <w:rPr>
          <w:color w:val="000000"/>
        </w:rPr>
      </w:pPr>
      <w:r>
        <w:rPr>
          <w:color w:val="000000"/>
        </w:rPr>
        <w:t>For pages other than the first page, start at the top of the page, and continue in double-column format.  The two columns on the last page should be as close to equal length as possible.</w:t>
      </w:r>
    </w:p>
    <w:p w14:paraId="1AE60029" w14:textId="77777777" w:rsidR="00950381" w:rsidRDefault="00950381">
      <w:pPr>
        <w:pBdr>
          <w:top w:val="nil"/>
          <w:left w:val="nil"/>
          <w:bottom w:val="nil"/>
          <w:right w:val="nil"/>
          <w:between w:val="nil"/>
        </w:pBdr>
        <w:spacing w:after="0"/>
        <w:rPr>
          <w:color w:val="000000"/>
        </w:rPr>
      </w:pPr>
    </w:p>
    <w:p w14:paraId="04A0D620" w14:textId="77777777" w:rsidR="00950381" w:rsidRDefault="00000000">
      <w:pPr>
        <w:keepNext/>
        <w:pBdr>
          <w:top w:val="nil"/>
          <w:left w:val="nil"/>
          <w:bottom w:val="nil"/>
          <w:right w:val="nil"/>
          <w:between w:val="nil"/>
        </w:pBdr>
        <w:jc w:val="center"/>
        <w:rPr>
          <w:b/>
          <w:bCs/>
          <w:color w:val="000000"/>
        </w:rPr>
      </w:pPr>
      <w:r>
        <w:rPr>
          <w:b/>
          <w:bCs/>
          <w:color w:val="000000"/>
        </w:rPr>
        <w:t>Table 1. Table captions should be placed above the table</w:t>
      </w:r>
    </w:p>
    <w:p w14:paraId="29434A11" w14:textId="77777777" w:rsidR="00950381" w:rsidRDefault="00000000">
      <w:pPr>
        <w:pBdr>
          <w:top w:val="nil"/>
          <w:left w:val="nil"/>
          <w:bottom w:val="nil"/>
          <w:right w:val="nil"/>
          <w:between w:val="nil"/>
        </w:pBdr>
        <w:spacing w:after="0"/>
        <w:rPr>
          <w:color w:val="000000"/>
        </w:rPr>
      </w:pPr>
      <w:r>
        <w:rPr>
          <w:noProof/>
          <w:color w:val="000000"/>
        </w:rPr>
        <w:drawing>
          <wp:inline distT="0" distB="0" distL="0" distR="0" wp14:anchorId="646E2326" wp14:editId="70475E24">
            <wp:extent cx="3076264" cy="85663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b="14078"/>
                    <a:stretch>
                      <a:fillRect/>
                    </a:stretch>
                  </pic:blipFill>
                  <pic:spPr>
                    <a:xfrm>
                      <a:off x="0" y="0"/>
                      <a:ext cx="3076264" cy="856630"/>
                    </a:xfrm>
                    <a:prstGeom prst="rect">
                      <a:avLst/>
                    </a:prstGeom>
                    <a:ln/>
                  </pic:spPr>
                </pic:pic>
              </a:graphicData>
            </a:graphic>
          </wp:inline>
        </w:drawing>
      </w:r>
    </w:p>
    <w:p w14:paraId="157D29BF" w14:textId="77777777" w:rsidR="00950381" w:rsidRDefault="00000000">
      <w:pPr>
        <w:pStyle w:val="Rubrik2"/>
        <w:numPr>
          <w:ilvl w:val="1"/>
          <w:numId w:val="1"/>
        </w:numPr>
        <w:spacing w:before="120"/>
      </w:pPr>
      <w:r>
        <w:t>References and Citations</w:t>
      </w:r>
    </w:p>
    <w:p w14:paraId="7DB7475F" w14:textId="77777777" w:rsidR="00950381" w:rsidRDefault="00000000">
      <w:pPr>
        <w:spacing w:after="120"/>
      </w:pPr>
      <w:r>
        <w:t>Footnotes should be Times New Roman 9-</w:t>
      </w:r>
      <w:proofErr w:type="gramStart"/>
      <w:r>
        <w:t>point, and</w:t>
      </w:r>
      <w:proofErr w:type="gramEnd"/>
      <w:r>
        <w:t xml:space="preserve"> justified to the full width of the column.</w:t>
      </w:r>
    </w:p>
    <w:p w14:paraId="7B39F02F" w14:textId="77777777" w:rsidR="00950381" w:rsidRDefault="00000000">
      <w:pPr>
        <w:spacing w:after="120"/>
      </w:pPr>
      <w:r>
        <w:t>Number citations consecutively in square brackets [1]. The sentence punctuation follows the brackets [2]. Multiple references [2], [3] are each numbered with separate brackets [1]</w:t>
      </w:r>
      <w:proofErr w:type="gramStart"/>
      <w:r>
        <w:t>–[</w:t>
      </w:r>
      <w:proofErr w:type="gramEnd"/>
      <w:r>
        <w:t xml:space="preserve">3]. </w:t>
      </w:r>
    </w:p>
    <w:p w14:paraId="78C031D5" w14:textId="77777777" w:rsidR="00950381" w:rsidRDefault="00000000">
      <w:pPr>
        <w:numPr>
          <w:ilvl w:val="0"/>
          <w:numId w:val="2"/>
        </w:numPr>
        <w:pBdr>
          <w:top w:val="nil"/>
          <w:left w:val="nil"/>
          <w:bottom w:val="nil"/>
          <w:right w:val="nil"/>
          <w:between w:val="nil"/>
        </w:pBdr>
        <w:jc w:val="left"/>
      </w:pPr>
      <w:r>
        <w:rPr>
          <w:color w:val="000000"/>
        </w:rPr>
        <w:t xml:space="preserve">A.B. Smith, C.D. Jones, and E.F. Roberts (Date). “Article Title”, </w:t>
      </w:r>
      <w:r>
        <w:rPr>
          <w:i/>
          <w:iCs/>
          <w:color w:val="000000"/>
        </w:rPr>
        <w:t>Journal</w:t>
      </w:r>
      <w:r>
        <w:rPr>
          <w:color w:val="000000"/>
        </w:rPr>
        <w:t xml:space="preserve">, Publisher, </w:t>
      </w:r>
      <w:proofErr w:type="gramStart"/>
      <w:r>
        <w:rPr>
          <w:color w:val="000000"/>
        </w:rPr>
        <w:t>Volume(</w:t>
      </w:r>
      <w:proofErr w:type="gramEnd"/>
      <w:r>
        <w:rPr>
          <w:color w:val="000000"/>
        </w:rPr>
        <w:t>Issue</w:t>
      </w:r>
      <w:proofErr w:type="gramStart"/>
      <w:r>
        <w:rPr>
          <w:color w:val="000000"/>
        </w:rPr>
        <w:t>),  pp.</w:t>
      </w:r>
      <w:proofErr w:type="gramEnd"/>
      <w:r>
        <w:rPr>
          <w:color w:val="000000"/>
        </w:rPr>
        <w:t xml:space="preserve"> 1-10.</w:t>
      </w:r>
    </w:p>
    <w:p w14:paraId="0044B4D7" w14:textId="77777777" w:rsidR="00950381" w:rsidRDefault="00000000">
      <w:pPr>
        <w:numPr>
          <w:ilvl w:val="0"/>
          <w:numId w:val="2"/>
        </w:numPr>
        <w:pBdr>
          <w:top w:val="nil"/>
          <w:left w:val="nil"/>
          <w:bottom w:val="nil"/>
          <w:right w:val="nil"/>
          <w:between w:val="nil"/>
        </w:pBdr>
        <w:jc w:val="left"/>
      </w:pPr>
      <w:r>
        <w:rPr>
          <w:color w:val="000000"/>
        </w:rPr>
        <w:t xml:space="preserve">Jones, C.D., A.B. Smith, and E.F. Roberts (Date). </w:t>
      </w:r>
      <w:r>
        <w:rPr>
          <w:i/>
          <w:iCs/>
          <w:color w:val="000000"/>
        </w:rPr>
        <w:t>Book Title</w:t>
      </w:r>
      <w:r>
        <w:rPr>
          <w:color w:val="000000"/>
        </w:rPr>
        <w:t>, Publisher, Location.</w:t>
      </w:r>
    </w:p>
    <w:p w14:paraId="66DA4457" w14:textId="77777777" w:rsidR="00950381" w:rsidRDefault="00000000">
      <w:pPr>
        <w:spacing w:after="120"/>
      </w:pPr>
      <w:r>
        <w:t xml:space="preserve">References should be published materials accessible to the public. Internal technical reports may be cited only if they are easily </w:t>
      </w:r>
      <w:r>
        <w:t>accessible (i.e. you can give the address to obtain the report within your citation) and may be obtained by any reader. Proprietary information may not be cited. Private communications should be acknowledged, not referenced (e.g., “[Nilsson, personal communication]”).</w:t>
      </w:r>
    </w:p>
    <w:p w14:paraId="5E7CAC33" w14:textId="77777777" w:rsidR="00950381" w:rsidRDefault="00000000">
      <w:pPr>
        <w:pStyle w:val="Rubrik2"/>
        <w:numPr>
          <w:ilvl w:val="1"/>
          <w:numId w:val="1"/>
        </w:numPr>
        <w:spacing w:before="120"/>
      </w:pPr>
      <w:r>
        <w:t>Page Numbering, Headers and Footers</w:t>
      </w:r>
    </w:p>
    <w:p w14:paraId="6FE70CA5" w14:textId="77777777" w:rsidR="00950381" w:rsidRDefault="00000000">
      <w:pPr>
        <w:pBdr>
          <w:top w:val="nil"/>
          <w:left w:val="nil"/>
          <w:bottom w:val="nil"/>
          <w:right w:val="nil"/>
          <w:between w:val="nil"/>
        </w:pBdr>
        <w:spacing w:after="120"/>
        <w:rPr>
          <w:color w:val="000000"/>
        </w:rPr>
      </w:pPr>
      <w:r>
        <w:rPr>
          <w:color w:val="000000"/>
        </w:rPr>
        <w:t>Do not include headers, footers or page numbers in your submission. These will be added when the publications are assembled.</w:t>
      </w:r>
    </w:p>
    <w:p w14:paraId="0DDD1A45" w14:textId="77777777" w:rsidR="00950381" w:rsidRDefault="00000000">
      <w:pPr>
        <w:pStyle w:val="Rubrik2"/>
        <w:numPr>
          <w:ilvl w:val="1"/>
          <w:numId w:val="1"/>
        </w:numPr>
        <w:spacing w:before="120"/>
      </w:pPr>
      <w:r>
        <w:t xml:space="preserve">Report length </w:t>
      </w:r>
    </w:p>
    <w:p w14:paraId="76457426" w14:textId="77777777" w:rsidR="00950381" w:rsidRDefault="00000000">
      <w:r>
        <w:t xml:space="preserve">The length of the full report, including the references should not exceed six pages.  </w:t>
      </w:r>
    </w:p>
    <w:p w14:paraId="6185C0A7" w14:textId="77777777" w:rsidR="00950381" w:rsidRDefault="00000000">
      <w:pPr>
        <w:pStyle w:val="Rubrik1"/>
        <w:numPr>
          <w:ilvl w:val="0"/>
          <w:numId w:val="1"/>
        </w:numPr>
        <w:spacing w:before="120"/>
      </w:pPr>
      <w:r>
        <w:t>FIGURES/CAPTIONS</w:t>
      </w:r>
    </w:p>
    <w:p w14:paraId="633CA168" w14:textId="77777777" w:rsidR="00950381" w:rsidRDefault="00000000">
      <w:pPr>
        <w:spacing w:after="120"/>
      </w:pPr>
      <w:r>
        <w:t>Place Tables/Figures/Images in text as close to the reference as possible (see Figure 1).  It may extend across both columns to a maximum width of 17.78 cm (7”).</w:t>
      </w:r>
    </w:p>
    <w:p w14:paraId="2808EB59" w14:textId="77777777" w:rsidR="00950381" w:rsidRDefault="00000000">
      <w:pPr>
        <w:spacing w:after="120"/>
      </w:pPr>
      <w:r>
        <w:t xml:space="preserve">Captions should be Times New Roman 9-point bold.  They should be numbered (e.g., “Table 1” or “Figure 2”), please note that the word for Table and Figure </w:t>
      </w:r>
      <w:proofErr w:type="gramStart"/>
      <w:r>
        <w:t>are</w:t>
      </w:r>
      <w:proofErr w:type="gramEnd"/>
      <w:r>
        <w:t xml:space="preserve"> spelled out. Figure’s captions should be </w:t>
      </w:r>
      <w:proofErr w:type="spellStart"/>
      <w:r>
        <w:t>centered</w:t>
      </w:r>
      <w:proofErr w:type="spellEnd"/>
      <w:r>
        <w:t xml:space="preserve"> beneath the image or picture, and Table captions should be </w:t>
      </w:r>
      <w:proofErr w:type="spellStart"/>
      <w:r>
        <w:t>centered</w:t>
      </w:r>
      <w:proofErr w:type="spellEnd"/>
      <w:r>
        <w:t xml:space="preserve"> above the table body.</w:t>
      </w:r>
    </w:p>
    <w:p w14:paraId="793983A1" w14:textId="77777777" w:rsidR="00950381" w:rsidRDefault="00000000">
      <w:pPr>
        <w:pStyle w:val="Rubrik1"/>
        <w:numPr>
          <w:ilvl w:val="0"/>
          <w:numId w:val="1"/>
        </w:numPr>
        <w:spacing w:before="120"/>
      </w:pPr>
      <w:r>
        <w:t>SECTIONS</w:t>
      </w:r>
    </w:p>
    <w:p w14:paraId="2E7BB093" w14:textId="77777777" w:rsidR="00950381" w:rsidRDefault="00000000">
      <w:pPr>
        <w:pBdr>
          <w:top w:val="nil"/>
          <w:left w:val="nil"/>
          <w:bottom w:val="nil"/>
          <w:right w:val="nil"/>
          <w:between w:val="nil"/>
        </w:pBdr>
        <w:spacing w:after="120"/>
        <w:rPr>
          <w:color w:val="000000"/>
        </w:rPr>
      </w:pPr>
      <w:r>
        <w:rPr>
          <w:color w:val="000000"/>
        </w:rPr>
        <w:t>The heading of a section should be in Times New Roman 12-point bold in all-capitals flush left with an additional 6-points of white space above the section head.  Sections and subsequent sub- sections should be numbered and flush left. For a section head and a subsection head together (such as Section 3 and subsection 3.1), use no additional space above the subsection head.</w:t>
      </w:r>
    </w:p>
    <w:p w14:paraId="5A31BF42" w14:textId="77777777" w:rsidR="00950381" w:rsidRDefault="00000000">
      <w:pPr>
        <w:pStyle w:val="Rubrik2"/>
        <w:numPr>
          <w:ilvl w:val="1"/>
          <w:numId w:val="1"/>
        </w:numPr>
        <w:spacing w:before="120"/>
      </w:pPr>
      <w:r>
        <w:t>Subsections</w:t>
      </w:r>
    </w:p>
    <w:p w14:paraId="4183283C" w14:textId="77777777" w:rsidR="00950381" w:rsidRDefault="00000000">
      <w:pPr>
        <w:spacing w:after="120"/>
      </w:pPr>
      <w:r>
        <w:t xml:space="preserve">The heading of subsections should be in Times New Roman 12-point bold with only the initial letters capitalized. (Note: For subsections and subsubsections, a word like </w:t>
      </w:r>
      <w:r>
        <w:rPr>
          <w:i/>
          <w:iCs/>
        </w:rPr>
        <w:t>the</w:t>
      </w:r>
      <w:r>
        <w:t xml:space="preserve"> or </w:t>
      </w:r>
      <w:r>
        <w:rPr>
          <w:i/>
          <w:iCs/>
        </w:rPr>
        <w:t>a</w:t>
      </w:r>
      <w:r>
        <w:t xml:space="preserve"> is not capitalized unless it is the first word of the header.)</w:t>
      </w:r>
    </w:p>
    <w:p w14:paraId="5FAB56CB" w14:textId="77777777" w:rsidR="00950381" w:rsidRDefault="00000000">
      <w:pPr>
        <w:pStyle w:val="Rubrik3"/>
        <w:numPr>
          <w:ilvl w:val="2"/>
          <w:numId w:val="1"/>
        </w:numPr>
        <w:spacing w:before="120"/>
      </w:pPr>
      <w:r>
        <w:t>Subsubsections</w:t>
      </w:r>
    </w:p>
    <w:p w14:paraId="4B2D9126" w14:textId="77777777" w:rsidR="00950381" w:rsidRDefault="00000000">
      <w:pPr>
        <w:pBdr>
          <w:top w:val="nil"/>
          <w:left w:val="nil"/>
          <w:bottom w:val="nil"/>
          <w:right w:val="nil"/>
          <w:between w:val="nil"/>
        </w:pBdr>
        <w:spacing w:after="120"/>
        <w:rPr>
          <w:color w:val="000000"/>
        </w:rPr>
      </w:pPr>
      <w:r>
        <w:rPr>
          <w:color w:val="000000"/>
        </w:rPr>
        <w:t>The heading for subsubsections should be in Times New Roman 11-point italic with initial letters capitalized and 6-points of white space above the subsubsection head.</w:t>
      </w:r>
    </w:p>
    <w:p w14:paraId="2E262BC2" w14:textId="77777777" w:rsidR="00950381" w:rsidRDefault="00000000">
      <w:pPr>
        <w:pStyle w:val="Rubrik4"/>
        <w:numPr>
          <w:ilvl w:val="3"/>
          <w:numId w:val="1"/>
        </w:numPr>
        <w:spacing w:before="120"/>
      </w:pPr>
      <w:r>
        <w:t>Subsubsections</w:t>
      </w:r>
    </w:p>
    <w:p w14:paraId="096979DC" w14:textId="77777777" w:rsidR="00950381" w:rsidRDefault="00000000">
      <w:pPr>
        <w:pBdr>
          <w:top w:val="nil"/>
          <w:left w:val="nil"/>
          <w:bottom w:val="nil"/>
          <w:right w:val="nil"/>
          <w:between w:val="nil"/>
        </w:pBdr>
        <w:spacing w:after="120"/>
        <w:rPr>
          <w:color w:val="000000"/>
        </w:rPr>
      </w:pPr>
      <w:r>
        <w:rPr>
          <w:color w:val="000000"/>
        </w:rPr>
        <w:t>The heading for subsubsections should be in Times New Roman 11-point italic with initial letters capitalized.</w:t>
      </w:r>
    </w:p>
    <w:p w14:paraId="2E74B23B" w14:textId="77777777" w:rsidR="00950381" w:rsidRDefault="00000000">
      <w:pPr>
        <w:pStyle w:val="Rubrik4"/>
        <w:numPr>
          <w:ilvl w:val="3"/>
          <w:numId w:val="1"/>
        </w:numPr>
        <w:spacing w:before="120"/>
      </w:pPr>
      <w:r>
        <w:t>Subsubsections</w:t>
      </w:r>
    </w:p>
    <w:p w14:paraId="4DE65BF2" w14:textId="77777777" w:rsidR="00950381" w:rsidRDefault="00000000">
      <w:pPr>
        <w:pBdr>
          <w:top w:val="nil"/>
          <w:left w:val="nil"/>
          <w:bottom w:val="nil"/>
          <w:right w:val="nil"/>
          <w:between w:val="nil"/>
        </w:pBdr>
        <w:spacing w:after="120"/>
        <w:rPr>
          <w:color w:val="000000"/>
        </w:rPr>
      </w:pPr>
      <w:r>
        <w:rPr>
          <w:color w:val="000000"/>
        </w:rPr>
        <w:t>The heading for subsubsections should be in Times New Roman 11-point italic with initial letters capitalized.</w:t>
      </w:r>
    </w:p>
    <w:p w14:paraId="19623CF1" w14:textId="77777777" w:rsidR="00950381" w:rsidRDefault="00950381">
      <w:pPr>
        <w:pBdr>
          <w:top w:val="nil"/>
          <w:left w:val="nil"/>
          <w:bottom w:val="nil"/>
          <w:right w:val="nil"/>
          <w:between w:val="nil"/>
        </w:pBdr>
        <w:spacing w:after="120"/>
        <w:rPr>
          <w:color w:val="000000"/>
        </w:rPr>
      </w:pPr>
    </w:p>
    <w:p w14:paraId="68C89DD9" w14:textId="77777777" w:rsidR="00950381" w:rsidRDefault="00000000">
      <w:pPr>
        <w:pBdr>
          <w:top w:val="nil"/>
          <w:left w:val="nil"/>
          <w:bottom w:val="nil"/>
          <w:right w:val="nil"/>
          <w:between w:val="nil"/>
        </w:pBdr>
        <w:ind w:left="360" w:hanging="360"/>
        <w:jc w:val="left"/>
        <w:rPr>
          <w:b/>
          <w:bCs/>
          <w:color w:val="000000"/>
          <w:sz w:val="28"/>
          <w:szCs w:val="28"/>
        </w:rPr>
      </w:pPr>
      <w:r>
        <w:rPr>
          <w:b/>
          <w:bCs/>
          <w:color w:val="000000"/>
          <w:sz w:val="28"/>
          <w:szCs w:val="28"/>
        </w:rPr>
        <w:t xml:space="preserve">Columns on Last Page Should Be Made </w:t>
      </w:r>
      <w:proofErr w:type="gramStart"/>
      <w:r>
        <w:rPr>
          <w:b/>
          <w:bCs/>
          <w:color w:val="000000"/>
          <w:sz w:val="28"/>
          <w:szCs w:val="28"/>
        </w:rPr>
        <w:t>As</w:t>
      </w:r>
      <w:proofErr w:type="gramEnd"/>
      <w:r>
        <w:rPr>
          <w:b/>
          <w:bCs/>
          <w:color w:val="000000"/>
          <w:sz w:val="28"/>
          <w:szCs w:val="28"/>
        </w:rPr>
        <w:t xml:space="preserve"> Close </w:t>
      </w:r>
      <w:proofErr w:type="gramStart"/>
      <w:r>
        <w:rPr>
          <w:b/>
          <w:bCs/>
          <w:color w:val="000000"/>
          <w:sz w:val="28"/>
          <w:szCs w:val="28"/>
        </w:rPr>
        <w:t>As</w:t>
      </w:r>
      <w:proofErr w:type="gramEnd"/>
      <w:r>
        <w:rPr>
          <w:b/>
          <w:bCs/>
          <w:color w:val="000000"/>
          <w:sz w:val="28"/>
          <w:szCs w:val="28"/>
        </w:rPr>
        <w:t xml:space="preserve"> Possible to Equal Length</w:t>
      </w:r>
    </w:p>
    <w:p w14:paraId="735C85CA" w14:textId="77777777" w:rsidR="00950381" w:rsidRDefault="00950381">
      <w:pPr>
        <w:pBdr>
          <w:top w:val="nil"/>
          <w:left w:val="nil"/>
          <w:bottom w:val="nil"/>
          <w:right w:val="nil"/>
          <w:between w:val="nil"/>
        </w:pBdr>
        <w:spacing w:after="120"/>
        <w:rPr>
          <w:color w:val="000000"/>
        </w:rPr>
      </w:pPr>
    </w:p>
    <w:p w14:paraId="3F858F2B" w14:textId="77777777" w:rsidR="00950381" w:rsidRDefault="00000000">
      <w:pPr>
        <w:keepNext/>
        <w:pBdr>
          <w:top w:val="nil"/>
          <w:left w:val="nil"/>
          <w:bottom w:val="nil"/>
          <w:right w:val="nil"/>
          <w:between w:val="nil"/>
        </w:pBdr>
        <w:spacing w:after="120"/>
        <w:jc w:val="center"/>
        <w:rPr>
          <w:color w:val="000000"/>
        </w:rPr>
      </w:pPr>
      <w:r>
        <w:rPr>
          <w:noProof/>
          <w:color w:val="000000"/>
        </w:rPr>
        <w:lastRenderedPageBreak/>
        <w:drawing>
          <wp:inline distT="0" distB="0" distL="0" distR="0" wp14:anchorId="7CF37626" wp14:editId="23087F60">
            <wp:extent cx="2319020" cy="215773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2319020" cy="2157730"/>
                    </a:xfrm>
                    <a:prstGeom prst="rect">
                      <a:avLst/>
                    </a:prstGeom>
                    <a:ln/>
                  </pic:spPr>
                </pic:pic>
              </a:graphicData>
            </a:graphic>
          </wp:inline>
        </w:drawing>
      </w:r>
    </w:p>
    <w:p w14:paraId="01D236F9" w14:textId="77777777" w:rsidR="00950381" w:rsidRDefault="00000000">
      <w:pPr>
        <w:pBdr>
          <w:top w:val="nil"/>
          <w:left w:val="nil"/>
          <w:bottom w:val="nil"/>
          <w:right w:val="nil"/>
          <w:between w:val="nil"/>
        </w:pBdr>
        <w:jc w:val="center"/>
        <w:rPr>
          <w:b/>
          <w:bCs/>
          <w:color w:val="000000"/>
        </w:rPr>
      </w:pPr>
      <w:r>
        <w:rPr>
          <w:b/>
          <w:bCs/>
          <w:color w:val="000000"/>
        </w:rPr>
        <w:t>Figure 1. Insert caption to place caption below figure.</w:t>
      </w:r>
    </w:p>
    <w:p w14:paraId="78939378" w14:textId="77777777" w:rsidR="00950381" w:rsidRDefault="00000000">
      <w:pPr>
        <w:pStyle w:val="Rubrik1"/>
        <w:numPr>
          <w:ilvl w:val="0"/>
          <w:numId w:val="1"/>
        </w:numPr>
        <w:spacing w:before="120"/>
      </w:pPr>
      <w:r>
        <w:t>ACKNOWLEDGMENTS</w:t>
      </w:r>
    </w:p>
    <w:p w14:paraId="508D5875" w14:textId="77777777" w:rsidR="00950381" w:rsidRDefault="00000000">
      <w:pPr>
        <w:pBdr>
          <w:top w:val="nil"/>
          <w:left w:val="nil"/>
          <w:bottom w:val="nil"/>
          <w:right w:val="nil"/>
          <w:between w:val="nil"/>
        </w:pBdr>
        <w:spacing w:after="120"/>
        <w:rPr>
          <w:color w:val="000000"/>
        </w:rPr>
      </w:pPr>
      <w:r>
        <w:rPr>
          <w:color w:val="000000"/>
        </w:rPr>
        <w:t>Our thanks to the teachers of D7016B Course for their intellectual support.</w:t>
      </w:r>
    </w:p>
    <w:p w14:paraId="24E63F13" w14:textId="77777777" w:rsidR="006C209F" w:rsidRDefault="006C209F">
      <w:pPr>
        <w:pBdr>
          <w:top w:val="nil"/>
          <w:left w:val="nil"/>
          <w:bottom w:val="nil"/>
          <w:right w:val="nil"/>
          <w:between w:val="nil"/>
        </w:pBdr>
        <w:spacing w:after="120"/>
        <w:rPr>
          <w:color w:val="000000"/>
        </w:rPr>
      </w:pPr>
    </w:p>
    <w:p w14:paraId="36159F6D" w14:textId="77777777" w:rsidR="006C209F" w:rsidRDefault="006C209F">
      <w:pPr>
        <w:pBdr>
          <w:top w:val="nil"/>
          <w:left w:val="nil"/>
          <w:bottom w:val="nil"/>
          <w:right w:val="nil"/>
          <w:between w:val="nil"/>
        </w:pBdr>
        <w:spacing w:after="120"/>
        <w:rPr>
          <w:color w:val="000000"/>
        </w:rPr>
      </w:pPr>
    </w:p>
    <w:p w14:paraId="57CF4734" w14:textId="77777777" w:rsidR="006C209F" w:rsidRDefault="006C209F">
      <w:pPr>
        <w:pBdr>
          <w:top w:val="nil"/>
          <w:left w:val="nil"/>
          <w:bottom w:val="nil"/>
          <w:right w:val="nil"/>
          <w:between w:val="nil"/>
        </w:pBdr>
        <w:spacing w:after="120"/>
        <w:rPr>
          <w:color w:val="000000"/>
        </w:rPr>
      </w:pPr>
    </w:p>
    <w:p w14:paraId="762F9353" w14:textId="77777777" w:rsidR="006C209F" w:rsidRDefault="006C209F">
      <w:pPr>
        <w:pBdr>
          <w:top w:val="nil"/>
          <w:left w:val="nil"/>
          <w:bottom w:val="nil"/>
          <w:right w:val="nil"/>
          <w:between w:val="nil"/>
        </w:pBdr>
        <w:spacing w:after="120"/>
        <w:rPr>
          <w:color w:val="000000"/>
        </w:rPr>
      </w:pPr>
    </w:p>
    <w:p w14:paraId="4FD9E6D3" w14:textId="77777777" w:rsidR="006C209F" w:rsidRDefault="006C209F">
      <w:pPr>
        <w:pBdr>
          <w:top w:val="nil"/>
          <w:left w:val="nil"/>
          <w:bottom w:val="nil"/>
          <w:right w:val="nil"/>
          <w:between w:val="nil"/>
        </w:pBdr>
        <w:spacing w:after="120"/>
        <w:rPr>
          <w:color w:val="000000"/>
        </w:rPr>
      </w:pPr>
    </w:p>
    <w:p w14:paraId="40A72E2D" w14:textId="77777777" w:rsidR="006C209F" w:rsidRDefault="006C209F">
      <w:pPr>
        <w:pBdr>
          <w:top w:val="nil"/>
          <w:left w:val="nil"/>
          <w:bottom w:val="nil"/>
          <w:right w:val="nil"/>
          <w:between w:val="nil"/>
        </w:pBdr>
        <w:spacing w:after="120"/>
        <w:rPr>
          <w:color w:val="000000"/>
        </w:rPr>
      </w:pPr>
    </w:p>
    <w:p w14:paraId="598766A1" w14:textId="77777777" w:rsidR="00950381" w:rsidRDefault="00000000">
      <w:pPr>
        <w:pStyle w:val="Rubrik1"/>
        <w:numPr>
          <w:ilvl w:val="0"/>
          <w:numId w:val="1"/>
        </w:numPr>
        <w:spacing w:before="120"/>
      </w:pPr>
      <w:r>
        <w:t>REFERENCES</w:t>
      </w:r>
    </w:p>
    <w:p w14:paraId="6FEE33B5" w14:textId="7B95F2C9" w:rsidR="006C209F" w:rsidRPr="006C209F" w:rsidRDefault="00234873" w:rsidP="006C209F">
      <w:pPr>
        <w:numPr>
          <w:ilvl w:val="0"/>
          <w:numId w:val="3"/>
        </w:numPr>
        <w:pBdr>
          <w:top w:val="nil"/>
          <w:left w:val="nil"/>
          <w:bottom w:val="nil"/>
          <w:right w:val="nil"/>
          <w:between w:val="nil"/>
        </w:pBdr>
        <w:jc w:val="left"/>
        <w:rPr>
          <w:color w:val="000000"/>
        </w:rPr>
      </w:pPr>
      <w:bookmarkStart w:id="0" w:name="bookmark=id.yx2p1kj8cqjj" w:colFirst="0" w:colLast="0"/>
      <w:bookmarkStart w:id="1" w:name="bookmark=id.bl04lvuct1ja" w:colFirst="0" w:colLast="0"/>
      <w:bookmarkStart w:id="2" w:name="Ref1"/>
      <w:bookmarkEnd w:id="0"/>
      <w:bookmarkEnd w:id="1"/>
      <w:bookmarkEnd w:id="2"/>
      <w:r w:rsidRPr="00234873">
        <w:rPr>
          <w:color w:val="000000"/>
        </w:rPr>
        <w:t xml:space="preserve">European Parliamentary Research Service (2026). </w:t>
      </w:r>
      <w:hyperlink r:id="rId19" w:history="1">
        <w:r w:rsidRPr="006C209F">
          <w:rPr>
            <w:rStyle w:val="Hyperlnk"/>
            <w:i/>
            <w:iCs/>
          </w:rPr>
          <w:t>The future of sustainable railway transport in Europe</w:t>
        </w:r>
      </w:hyperlink>
      <w:r>
        <w:rPr>
          <w:color w:val="000000"/>
        </w:rPr>
        <w:t>.</w:t>
      </w:r>
      <w:r w:rsidRPr="00234873">
        <w:rPr>
          <w:color w:val="000000"/>
        </w:rPr>
        <w:t xml:space="preserve"> Panel for the Future of Science and Technology (STOA), Scientific Foresight Unit, PE 788.125.</w:t>
      </w:r>
      <w:r>
        <w:rPr>
          <w:color w:val="000000"/>
        </w:rPr>
        <w:t xml:space="preserve"> </w:t>
      </w:r>
      <w:r w:rsidR="006C209F">
        <w:rPr>
          <w:color w:val="000000"/>
        </w:rPr>
        <w:t>Accessed</w:t>
      </w:r>
      <w:r w:rsidRPr="006C209F">
        <w:rPr>
          <w:color w:val="000000"/>
        </w:rPr>
        <w:t>: 28</w:t>
      </w:r>
      <w:r w:rsidRPr="006C209F">
        <w:rPr>
          <w:color w:val="000000"/>
          <w:vertAlign w:val="superscript"/>
        </w:rPr>
        <w:t>th</w:t>
      </w:r>
      <w:r w:rsidRPr="006C209F">
        <w:rPr>
          <w:color w:val="000000"/>
        </w:rPr>
        <w:t xml:space="preserve"> of September 2026</w:t>
      </w:r>
    </w:p>
    <w:p w14:paraId="12C2D0DC" w14:textId="25B621D9" w:rsidR="006C209F" w:rsidRPr="006C209F" w:rsidRDefault="006C209F">
      <w:pPr>
        <w:numPr>
          <w:ilvl w:val="0"/>
          <w:numId w:val="3"/>
        </w:numPr>
        <w:pBdr>
          <w:top w:val="nil"/>
          <w:left w:val="nil"/>
          <w:bottom w:val="nil"/>
          <w:right w:val="nil"/>
          <w:between w:val="nil"/>
        </w:pBdr>
        <w:jc w:val="left"/>
      </w:pPr>
      <w:bookmarkStart w:id="3" w:name="Ref2"/>
      <w:bookmarkEnd w:id="3"/>
      <w:r w:rsidRPr="006C209F">
        <w:rPr>
          <w:color w:val="000000"/>
          <w:lang w:val="sv-SE"/>
        </w:rPr>
        <w:t xml:space="preserve">LKAB (2025). </w:t>
      </w:r>
      <w:hyperlink r:id="rId20" w:history="1">
        <w:r w:rsidRPr="006C209F">
          <w:rPr>
            <w:rStyle w:val="Hyperlnk"/>
            <w:i/>
            <w:iCs/>
            <w:lang w:val="sv-SE"/>
          </w:rPr>
          <w:t>Orsaken till stora urspårningen på Malmbanan fastställd</w:t>
        </w:r>
      </w:hyperlink>
      <w:r w:rsidRPr="006C209F">
        <w:rPr>
          <w:color w:val="000000"/>
          <w:lang w:val="sv-SE"/>
        </w:rPr>
        <w:t xml:space="preserve">. </w:t>
      </w:r>
      <w:r w:rsidRPr="006C209F">
        <w:rPr>
          <w:color w:val="000000"/>
        </w:rPr>
        <w:t>LKAB, 22 May 2025. Available at: [LKAB], accessed: 5 October 2026.</w:t>
      </w:r>
    </w:p>
    <w:p w14:paraId="07D22094" w14:textId="1D2E42BB" w:rsidR="00950381" w:rsidRDefault="00000000">
      <w:pPr>
        <w:numPr>
          <w:ilvl w:val="0"/>
          <w:numId w:val="3"/>
        </w:numPr>
        <w:pBdr>
          <w:top w:val="nil"/>
          <w:left w:val="nil"/>
          <w:bottom w:val="nil"/>
          <w:right w:val="nil"/>
          <w:between w:val="nil"/>
        </w:pBdr>
        <w:jc w:val="left"/>
      </w:pPr>
      <w:r>
        <w:rPr>
          <w:color w:val="000000"/>
        </w:rPr>
        <w:t xml:space="preserve">Ding, W. and </w:t>
      </w:r>
      <w:proofErr w:type="spellStart"/>
      <w:r>
        <w:rPr>
          <w:color w:val="000000"/>
        </w:rPr>
        <w:t>Marchionini</w:t>
      </w:r>
      <w:proofErr w:type="spellEnd"/>
      <w:r>
        <w:rPr>
          <w:color w:val="000000"/>
        </w:rPr>
        <w:t>, G. (1997). “</w:t>
      </w:r>
      <w:r>
        <w:rPr>
          <w:i/>
          <w:iCs/>
          <w:color w:val="000000"/>
        </w:rPr>
        <w:t>A Study on Video Browsing Strategies</w:t>
      </w:r>
      <w:r>
        <w:rPr>
          <w:color w:val="000000"/>
        </w:rPr>
        <w:t xml:space="preserve">”. Technical Report. University of Maryland at College </w:t>
      </w:r>
      <w:proofErr w:type="gramStart"/>
      <w:r>
        <w:rPr>
          <w:color w:val="000000"/>
        </w:rPr>
        <w:t>Park,.</w:t>
      </w:r>
      <w:proofErr w:type="gramEnd"/>
      <w:r>
        <w:rPr>
          <w:color w:val="000000"/>
        </w:rPr>
        <w:t xml:space="preserve"> </w:t>
      </w:r>
    </w:p>
    <w:p w14:paraId="2338710F" w14:textId="77777777" w:rsidR="00950381" w:rsidRDefault="00000000">
      <w:pPr>
        <w:numPr>
          <w:ilvl w:val="0"/>
          <w:numId w:val="3"/>
        </w:numPr>
        <w:pBdr>
          <w:top w:val="nil"/>
          <w:left w:val="nil"/>
          <w:bottom w:val="nil"/>
          <w:right w:val="nil"/>
          <w:between w:val="nil"/>
        </w:pBdr>
        <w:jc w:val="left"/>
        <w:rPr>
          <w:color w:val="000000"/>
        </w:rPr>
      </w:pPr>
      <w:r>
        <w:rPr>
          <w:color w:val="000000"/>
        </w:rPr>
        <w:t xml:space="preserve">IEC (1990). </w:t>
      </w:r>
      <w:r>
        <w:rPr>
          <w:i/>
          <w:iCs/>
          <w:color w:val="000000"/>
        </w:rPr>
        <w:t>60050 (191): Dependability and quality of service. International Electrotechnical Commission</w:t>
      </w:r>
      <w:r>
        <w:rPr>
          <w:color w:val="000000"/>
        </w:rPr>
        <w:t>, Geneva, Switzerland.</w:t>
      </w:r>
    </w:p>
    <w:p w14:paraId="47561521" w14:textId="77777777" w:rsidR="00950381" w:rsidRDefault="00000000">
      <w:pPr>
        <w:numPr>
          <w:ilvl w:val="0"/>
          <w:numId w:val="3"/>
        </w:numPr>
        <w:pBdr>
          <w:top w:val="nil"/>
          <w:left w:val="nil"/>
          <w:bottom w:val="nil"/>
          <w:right w:val="nil"/>
          <w:between w:val="nil"/>
        </w:pBdr>
        <w:jc w:val="left"/>
        <w:rPr>
          <w:color w:val="000000"/>
        </w:rPr>
      </w:pPr>
      <w:r>
        <w:rPr>
          <w:color w:val="000000"/>
        </w:rPr>
        <w:t>IEEE 610.12 (1990)</w:t>
      </w:r>
      <w:bookmarkStart w:id="4" w:name="bookmark=id.vsokvou8slsa" w:colFirst="0" w:colLast="0"/>
      <w:bookmarkEnd w:id="4"/>
      <w:r>
        <w:rPr>
          <w:color w:val="000000"/>
        </w:rPr>
        <w:t xml:space="preserve">. </w:t>
      </w:r>
      <w:r>
        <w:rPr>
          <w:i/>
          <w:iCs/>
          <w:color w:val="000000"/>
        </w:rPr>
        <w:t>IEEE Standard Glossary of Software Engineering Terminology</w:t>
      </w:r>
      <w:r>
        <w:rPr>
          <w:color w:val="000000"/>
        </w:rPr>
        <w:t xml:space="preserve">, Software Engineering, IEEE. </w:t>
      </w:r>
    </w:p>
    <w:p w14:paraId="4C75742B" w14:textId="77777777" w:rsidR="00950381" w:rsidRDefault="00000000">
      <w:pPr>
        <w:numPr>
          <w:ilvl w:val="0"/>
          <w:numId w:val="3"/>
        </w:numPr>
        <w:pBdr>
          <w:top w:val="nil"/>
          <w:left w:val="nil"/>
          <w:bottom w:val="nil"/>
          <w:right w:val="nil"/>
          <w:between w:val="nil"/>
        </w:pBdr>
        <w:jc w:val="left"/>
        <w:rPr>
          <w:color w:val="000000"/>
        </w:rPr>
      </w:pPr>
      <w:r>
        <w:rPr>
          <w:color w:val="000000"/>
        </w:rPr>
        <w:t xml:space="preserve">IEV (2008). </w:t>
      </w:r>
      <w:r>
        <w:rPr>
          <w:i/>
          <w:iCs/>
          <w:color w:val="000000"/>
        </w:rPr>
        <w:t>International Electrotechnical Vocabulary (IEV).</w:t>
      </w:r>
      <w:r>
        <w:rPr>
          <w:color w:val="000000"/>
        </w:rPr>
        <w:t xml:space="preserve"> Available at: http://www.electropedia.org/, accessed: 18 August 2008.</w:t>
      </w:r>
    </w:p>
    <w:p w14:paraId="50F68603" w14:textId="77777777" w:rsidR="00950381" w:rsidRDefault="00000000">
      <w:pPr>
        <w:numPr>
          <w:ilvl w:val="0"/>
          <w:numId w:val="3"/>
        </w:numPr>
        <w:pBdr>
          <w:top w:val="nil"/>
          <w:left w:val="nil"/>
          <w:bottom w:val="nil"/>
          <w:right w:val="nil"/>
          <w:between w:val="nil"/>
        </w:pBdr>
        <w:jc w:val="left"/>
        <w:rPr>
          <w:color w:val="000000"/>
        </w:rPr>
      </w:pPr>
      <w:bookmarkStart w:id="5" w:name="bookmark=id.jpi6yc1zu451" w:colFirst="0" w:colLast="0"/>
      <w:bookmarkEnd w:id="5"/>
      <w:r>
        <w:rPr>
          <w:color w:val="000000"/>
        </w:rPr>
        <w:t xml:space="preserve">Kajko-Mattsson, M., Grace, L.A. and Smith, D.B. (2007). “Roles for Development, Evolution and Maintenance of SOA-Based Systems”. </w:t>
      </w:r>
      <w:r>
        <w:rPr>
          <w:i/>
          <w:iCs/>
          <w:color w:val="000000"/>
        </w:rPr>
        <w:t>In</w:t>
      </w:r>
      <w:r>
        <w:rPr>
          <w:color w:val="000000"/>
        </w:rPr>
        <w:t xml:space="preserve"> </w:t>
      </w:r>
      <w:r>
        <w:rPr>
          <w:i/>
          <w:iCs/>
          <w:color w:val="000000"/>
        </w:rPr>
        <w:t>Proceedings of SDSOA</w:t>
      </w:r>
      <w:r>
        <w:rPr>
          <w:color w:val="000000"/>
        </w:rPr>
        <w:t>, IEEE.</w:t>
      </w:r>
    </w:p>
    <w:p w14:paraId="1C800C9D" w14:textId="77777777" w:rsidR="00950381" w:rsidRDefault="00000000">
      <w:pPr>
        <w:numPr>
          <w:ilvl w:val="0"/>
          <w:numId w:val="3"/>
        </w:numPr>
        <w:pBdr>
          <w:top w:val="nil"/>
          <w:left w:val="nil"/>
          <w:bottom w:val="nil"/>
          <w:right w:val="nil"/>
          <w:between w:val="nil"/>
        </w:pBdr>
        <w:jc w:val="left"/>
        <w:rPr>
          <w:color w:val="000000"/>
        </w:rPr>
      </w:pPr>
      <w:r>
        <w:rPr>
          <w:color w:val="000000"/>
        </w:rPr>
        <w:t xml:space="preserve">Karim, R., Candell, O. and Söderholm, P. (2009). </w:t>
      </w:r>
      <w:proofErr w:type="gramStart"/>
      <w:r>
        <w:rPr>
          <w:color w:val="000000"/>
        </w:rPr>
        <w:t>”Development</w:t>
      </w:r>
      <w:proofErr w:type="gramEnd"/>
      <w:r>
        <w:rPr>
          <w:color w:val="000000"/>
        </w:rPr>
        <w:t xml:space="preserve"> of ICT-based Maintenance Support Services”. </w:t>
      </w:r>
      <w:r>
        <w:rPr>
          <w:i/>
          <w:iCs/>
          <w:color w:val="000000"/>
        </w:rPr>
        <w:t>Journal of Quality in Maintenance Engineering</w:t>
      </w:r>
      <w:r>
        <w:rPr>
          <w:color w:val="000000"/>
        </w:rPr>
        <w:t>, 15(2), pp. 127-150.</w:t>
      </w:r>
    </w:p>
    <w:p w14:paraId="7770AF9C" w14:textId="77777777" w:rsidR="00950381" w:rsidRDefault="00950381">
      <w:pPr>
        <w:pBdr>
          <w:top w:val="nil"/>
          <w:left w:val="nil"/>
          <w:bottom w:val="nil"/>
          <w:right w:val="nil"/>
          <w:between w:val="nil"/>
        </w:pBdr>
        <w:ind w:left="360" w:hanging="360"/>
        <w:jc w:val="left"/>
        <w:rPr>
          <w:color w:val="000000"/>
        </w:rPr>
      </w:pPr>
    </w:p>
    <w:p w14:paraId="653B022D" w14:textId="77777777" w:rsidR="00950381" w:rsidRDefault="00950381">
      <w:pPr>
        <w:pBdr>
          <w:top w:val="nil"/>
          <w:left w:val="nil"/>
          <w:bottom w:val="nil"/>
          <w:right w:val="nil"/>
          <w:between w:val="nil"/>
        </w:pBdr>
        <w:ind w:left="360" w:hanging="360"/>
        <w:jc w:val="left"/>
        <w:rPr>
          <w:color w:val="000000"/>
        </w:rPr>
        <w:sectPr w:rsidR="00950381">
          <w:type w:val="continuous"/>
          <w:pgSz w:w="12240" w:h="15840"/>
          <w:pgMar w:top="1440" w:right="1080" w:bottom="1440" w:left="1080" w:header="720" w:footer="720" w:gutter="0"/>
          <w:cols w:num="2" w:space="720" w:equalWidth="0">
            <w:col w:w="4802" w:space="475"/>
            <w:col w:w="4802" w:space="0"/>
          </w:cols>
        </w:sectPr>
      </w:pPr>
    </w:p>
    <w:p w14:paraId="23CF57F5" w14:textId="77777777" w:rsidR="00950381" w:rsidRDefault="00950381">
      <w:pPr>
        <w:pBdr>
          <w:top w:val="nil"/>
          <w:left w:val="nil"/>
          <w:bottom w:val="nil"/>
          <w:right w:val="nil"/>
          <w:between w:val="nil"/>
        </w:pBdr>
        <w:spacing w:after="120"/>
        <w:jc w:val="center"/>
        <w:rPr>
          <w:rFonts w:ascii="Helvetica Neue" w:eastAsia="Helvetica Neue" w:hAnsi="Helvetica Neue" w:cs="Helvetica Neue"/>
          <w:b/>
          <w:bCs/>
          <w:color w:val="000000"/>
          <w:sz w:val="36"/>
          <w:szCs w:val="36"/>
        </w:rPr>
      </w:pPr>
    </w:p>
    <w:sectPr w:rsidR="00950381">
      <w:type w:val="continuous"/>
      <w:pgSz w:w="12240" w:h="15840"/>
      <w:pgMar w:top="1440" w:right="1080" w:bottom="144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D86F16" w14:textId="77777777" w:rsidR="00130E51" w:rsidRDefault="00130E51">
      <w:pPr>
        <w:spacing w:after="0"/>
      </w:pPr>
      <w:r>
        <w:separator/>
      </w:r>
    </w:p>
  </w:endnote>
  <w:endnote w:type="continuationSeparator" w:id="0">
    <w:p w14:paraId="700BD056" w14:textId="77777777" w:rsidR="00130E51" w:rsidRDefault="00130E5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embedRegular r:id="rId1" w:fontKey="{ECAC6E0B-C6A5-489B-A605-47F9EA4354B6}"/>
    <w:embedBold r:id="rId2" w:fontKey="{E36F52F8-37A1-49F0-AAC1-A6CD659861A1}"/>
  </w:font>
  <w:font w:name="Tahoma">
    <w:panose1 w:val="020B0604030504040204"/>
    <w:charset w:val="00"/>
    <w:family w:val="swiss"/>
    <w:pitch w:val="variable"/>
    <w:sig w:usb0="E1002EFF" w:usb1="C000605B" w:usb2="00000029" w:usb3="00000000" w:csb0="000101FF" w:csb1="00000000"/>
    <w:embedRegular r:id="rId3" w:fontKey="{536E2D32-6545-4C1E-B39F-552D18DE57EC}"/>
  </w:font>
  <w:font w:name="Miriam">
    <w:charset w:val="B1"/>
    <w:family w:val="swiss"/>
    <w:pitch w:val="variable"/>
    <w:sig w:usb0="00000803" w:usb1="00000000" w:usb2="00000000" w:usb3="00000000" w:csb0="00000021" w:csb1="00000000"/>
  </w:font>
  <w:font w:name="Georgia">
    <w:panose1 w:val="02040502050405020303"/>
    <w:charset w:val="00"/>
    <w:family w:val="roman"/>
    <w:pitch w:val="variable"/>
    <w:sig w:usb0="00000287" w:usb1="00000000" w:usb2="00000000" w:usb3="00000000" w:csb0="0000009F" w:csb1="00000000"/>
    <w:embedItalic r:id="rId4" w:fontKey="{0130719D-DEEF-4718-B43E-6B6D52A17185}"/>
  </w:font>
  <w:font w:name="Helvetica Neue">
    <w:altName w:val="Arial"/>
    <w:charset w:val="00"/>
    <w:family w:val="auto"/>
    <w:pitch w:val="default"/>
    <w:embedRegular r:id="rId5" w:fontKey="{E97D8E9E-C786-453D-AD49-488F8719D787}"/>
    <w:embedBold r:id="rId6" w:fontKey="{979D807A-D838-4593-8471-E05C30FEDC4F}"/>
  </w:font>
  <w:font w:name="Calibri Light">
    <w:panose1 w:val="020F0302020204030204"/>
    <w:charset w:val="00"/>
    <w:family w:val="swiss"/>
    <w:pitch w:val="variable"/>
    <w:sig w:usb0="E4002EFF" w:usb1="C200247B" w:usb2="00000009" w:usb3="00000000" w:csb0="000001FF" w:csb1="00000000"/>
    <w:embedRegular r:id="rId7" w:fontKey="{70C774B1-5E91-4C64-9F14-F2A05FE42E9A}"/>
  </w:font>
  <w:font w:name="Calibri">
    <w:panose1 w:val="020F0502020204030204"/>
    <w:charset w:val="00"/>
    <w:family w:val="swiss"/>
    <w:pitch w:val="variable"/>
    <w:sig w:usb0="E4002EFF" w:usb1="C200247B" w:usb2="00000009" w:usb3="00000000" w:csb0="000001FF" w:csb1="00000000"/>
    <w:embedRegular r:id="rId8" w:fontKey="{8B62053B-51E2-46A2-B585-9D41ED8B760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F5710" w14:textId="77777777" w:rsidR="00950381" w:rsidRDefault="00000000">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744BFAA5" w14:textId="77777777" w:rsidR="00950381" w:rsidRDefault="00950381">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B69E3" w14:textId="77777777" w:rsidR="00130E51" w:rsidRDefault="00130E51">
      <w:pPr>
        <w:spacing w:after="0"/>
      </w:pPr>
      <w:r>
        <w:separator/>
      </w:r>
    </w:p>
  </w:footnote>
  <w:footnote w:type="continuationSeparator" w:id="0">
    <w:p w14:paraId="5F14C1A8" w14:textId="77777777" w:rsidR="00130E51" w:rsidRDefault="00130E5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A46EC"/>
    <w:multiLevelType w:val="hybridMultilevel"/>
    <w:tmpl w:val="457C00E6"/>
    <w:lvl w:ilvl="0" w:tplc="5060F100">
      <w:numFmt w:val="bullet"/>
      <w:lvlText w:val="-"/>
      <w:lvlJc w:val="left"/>
      <w:pPr>
        <w:ind w:left="720" w:hanging="360"/>
      </w:pPr>
      <w:rPr>
        <w:rFonts w:ascii="Times New Roman" w:eastAsia="Times New Roman" w:hAnsi="Times New Roman" w:cs="Times New Roman"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 w15:restartNumberingAfterBreak="0">
    <w:nsid w:val="24F04FD4"/>
    <w:multiLevelType w:val="multilevel"/>
    <w:tmpl w:val="2C00632C"/>
    <w:lvl w:ilvl="0">
      <w:start w:val="1"/>
      <w:numFmt w:val="decimal"/>
      <w:lvlText w:val="%1."/>
      <w:lvlJc w:val="left"/>
      <w:pPr>
        <w:ind w:left="0" w:firstLine="0"/>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pStyle w:val="Rubrik7"/>
      <w:lvlText w:val="%1.%2.%3.%4.%5.%6.%7"/>
      <w:lvlJc w:val="left"/>
      <w:pPr>
        <w:ind w:left="0" w:firstLine="0"/>
      </w:pPr>
    </w:lvl>
    <w:lvl w:ilvl="7">
      <w:start w:val="1"/>
      <w:numFmt w:val="decimal"/>
      <w:pStyle w:val="Rubrik8"/>
      <w:lvlText w:val="%1.%2.%3.%4.%5.%6.%7.%8"/>
      <w:lvlJc w:val="left"/>
      <w:pPr>
        <w:ind w:left="0" w:firstLine="0"/>
      </w:pPr>
    </w:lvl>
    <w:lvl w:ilvl="8">
      <w:start w:val="1"/>
      <w:numFmt w:val="decimal"/>
      <w:pStyle w:val="Rubrik9"/>
      <w:lvlText w:val="%1.%2.%3.%4.%5.%6.%7.%8.%9"/>
      <w:lvlJc w:val="left"/>
      <w:pPr>
        <w:ind w:left="0" w:firstLine="0"/>
      </w:pPr>
    </w:lvl>
  </w:abstractNum>
  <w:abstractNum w:abstractNumId="2" w15:restartNumberingAfterBreak="0">
    <w:nsid w:val="381779E5"/>
    <w:multiLevelType w:val="multilevel"/>
    <w:tmpl w:val="335248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1FC4411"/>
    <w:multiLevelType w:val="multilevel"/>
    <w:tmpl w:val="05749B0A"/>
    <w:lvl w:ilvl="0">
      <w:start w:val="1"/>
      <w:numFmt w:val="decimal"/>
      <w:pStyle w:val="References"/>
      <w:lvlText w:val="[%1]"/>
      <w:lvlJc w:val="left"/>
      <w:pPr>
        <w:ind w:left="360" w:hanging="360"/>
      </w:pPr>
      <w:rPr>
        <w:rFonts w:ascii="Times New Roman" w:eastAsia="Times New Roman" w:hAnsi="Times New Roman" w:cs="Times New Roman"/>
        <w:sz w:val="18"/>
        <w:szCs w:val="18"/>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6AF916D2"/>
    <w:multiLevelType w:val="multilevel"/>
    <w:tmpl w:val="5C76AC02"/>
    <w:lvl w:ilvl="0">
      <w:start w:val="1"/>
      <w:numFmt w:val="decimal"/>
      <w:lvlText w:val="[%1]"/>
      <w:lvlJc w:val="left"/>
      <w:pPr>
        <w:ind w:left="360" w:hanging="360"/>
      </w:pPr>
      <w:rPr>
        <w:rFonts w:ascii="Times New Roman" w:eastAsia="Times New Roman" w:hAnsi="Times New Roman" w:cs="Times New Roman"/>
        <w:sz w:val="18"/>
        <w:szCs w:val="18"/>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06627758">
    <w:abstractNumId w:val="1"/>
  </w:num>
  <w:num w:numId="2" w16cid:durableId="1302463357">
    <w:abstractNumId w:val="3"/>
  </w:num>
  <w:num w:numId="3" w16cid:durableId="1705716422">
    <w:abstractNumId w:val="4"/>
  </w:num>
  <w:num w:numId="4" w16cid:durableId="1021973694">
    <w:abstractNumId w:val="2"/>
  </w:num>
  <w:num w:numId="5" w16cid:durableId="16949609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381"/>
    <w:rsid w:val="000229F6"/>
    <w:rsid w:val="00094CB4"/>
    <w:rsid w:val="000E0DD5"/>
    <w:rsid w:val="00130E51"/>
    <w:rsid w:val="001E4708"/>
    <w:rsid w:val="00234873"/>
    <w:rsid w:val="00247A74"/>
    <w:rsid w:val="00596254"/>
    <w:rsid w:val="005970AE"/>
    <w:rsid w:val="005E046F"/>
    <w:rsid w:val="006C209F"/>
    <w:rsid w:val="006C428D"/>
    <w:rsid w:val="006E3FD7"/>
    <w:rsid w:val="00950381"/>
    <w:rsid w:val="00A25C97"/>
    <w:rsid w:val="00A67FC9"/>
    <w:rsid w:val="00B1504B"/>
    <w:rsid w:val="00B16F24"/>
    <w:rsid w:val="00B37E3F"/>
    <w:rsid w:val="00F319F9"/>
    <w:rsid w:val="00FA4668"/>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BEB0F"/>
  <w15:docId w15:val="{5B460843-77BF-44F1-901E-71833F3C4F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18"/>
        <w:szCs w:val="18"/>
        <w:lang w:val="en-GB" w:eastAsia="sv-SE" w:bidi="ar-SA"/>
      </w:rPr>
    </w:rPrDefault>
    <w:pPrDefault>
      <w:pPr>
        <w:spacing w:after="8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uiPriority w:val="9"/>
    <w:qFormat/>
    <w:pPr>
      <w:keepNext/>
      <w:spacing w:before="40" w:after="0"/>
      <w:jc w:val="left"/>
      <w:outlineLvl w:val="0"/>
    </w:pPr>
    <w:rPr>
      <w:b/>
      <w:bCs/>
      <w:sz w:val="24"/>
      <w:szCs w:val="24"/>
    </w:rPr>
  </w:style>
  <w:style w:type="paragraph" w:styleId="Rubrik2">
    <w:name w:val="heading 2"/>
    <w:basedOn w:val="Normal"/>
    <w:next w:val="Normal"/>
    <w:link w:val="Rubrik2Char"/>
    <w:uiPriority w:val="9"/>
    <w:unhideWhenUsed/>
    <w:qFormat/>
    <w:pPr>
      <w:keepNext/>
      <w:spacing w:before="40" w:after="0"/>
      <w:jc w:val="left"/>
      <w:outlineLvl w:val="1"/>
    </w:pPr>
    <w:rPr>
      <w:b/>
      <w:bCs/>
      <w:sz w:val="24"/>
      <w:szCs w:val="24"/>
    </w:rPr>
  </w:style>
  <w:style w:type="paragraph" w:styleId="Rubrik3">
    <w:name w:val="heading 3"/>
    <w:basedOn w:val="Normal"/>
    <w:next w:val="Normal"/>
    <w:uiPriority w:val="9"/>
    <w:unhideWhenUsed/>
    <w:qFormat/>
    <w:pPr>
      <w:keepNext/>
      <w:spacing w:before="40" w:after="0"/>
      <w:jc w:val="left"/>
      <w:outlineLvl w:val="2"/>
    </w:pPr>
    <w:rPr>
      <w:i/>
      <w:iCs/>
      <w:sz w:val="22"/>
      <w:szCs w:val="22"/>
    </w:rPr>
  </w:style>
  <w:style w:type="paragraph" w:styleId="Rubrik4">
    <w:name w:val="heading 4"/>
    <w:basedOn w:val="Normal"/>
    <w:next w:val="Normal"/>
    <w:uiPriority w:val="9"/>
    <w:unhideWhenUsed/>
    <w:qFormat/>
    <w:pPr>
      <w:keepNext/>
      <w:spacing w:before="40" w:after="0"/>
      <w:jc w:val="left"/>
      <w:outlineLvl w:val="3"/>
    </w:pPr>
    <w:rPr>
      <w:i/>
      <w:iCs/>
      <w:sz w:val="22"/>
      <w:szCs w:val="22"/>
    </w:rPr>
  </w:style>
  <w:style w:type="paragraph" w:styleId="Rubrik5">
    <w:name w:val="heading 5"/>
    <w:basedOn w:val="Normal"/>
    <w:next w:val="Normal"/>
    <w:uiPriority w:val="9"/>
    <w:semiHidden/>
    <w:unhideWhenUsed/>
    <w:qFormat/>
    <w:pPr>
      <w:spacing w:before="40" w:after="0"/>
      <w:jc w:val="left"/>
      <w:outlineLvl w:val="4"/>
    </w:pPr>
    <w:rPr>
      <w:i/>
      <w:iCs/>
      <w:sz w:val="22"/>
      <w:szCs w:val="22"/>
    </w:rPr>
  </w:style>
  <w:style w:type="paragraph" w:styleId="Rubrik6">
    <w:name w:val="heading 6"/>
    <w:basedOn w:val="Normal"/>
    <w:next w:val="Normal"/>
    <w:uiPriority w:val="9"/>
    <w:semiHidden/>
    <w:unhideWhenUsed/>
    <w:qFormat/>
    <w:pPr>
      <w:spacing w:before="240" w:after="60"/>
      <w:outlineLvl w:val="5"/>
    </w:pPr>
    <w:rPr>
      <w:rFonts w:ascii="Arial" w:eastAsia="Arial" w:hAnsi="Arial" w:cs="Arial"/>
      <w:i/>
      <w:iCs/>
      <w:sz w:val="22"/>
      <w:szCs w:val="22"/>
    </w:rPr>
  </w:style>
  <w:style w:type="paragraph" w:styleId="Rubrik7">
    <w:name w:val="heading 7"/>
    <w:basedOn w:val="Normal"/>
    <w:next w:val="Normal"/>
    <w:qFormat/>
    <w:pPr>
      <w:numPr>
        <w:ilvl w:val="6"/>
        <w:numId w:val="1"/>
      </w:numPr>
      <w:spacing w:before="240" w:after="60"/>
      <w:outlineLvl w:val="6"/>
    </w:pPr>
    <w:rPr>
      <w:rFonts w:ascii="Arial" w:hAnsi="Arial"/>
    </w:rPr>
  </w:style>
  <w:style w:type="paragraph" w:styleId="Rubrik8">
    <w:name w:val="heading 8"/>
    <w:basedOn w:val="Normal"/>
    <w:next w:val="Normal"/>
    <w:qFormat/>
    <w:pPr>
      <w:numPr>
        <w:ilvl w:val="7"/>
        <w:numId w:val="1"/>
      </w:numPr>
      <w:spacing w:before="240" w:after="60"/>
      <w:outlineLvl w:val="7"/>
    </w:pPr>
    <w:rPr>
      <w:rFonts w:ascii="Arial" w:hAnsi="Arial"/>
      <w:i/>
    </w:rPr>
  </w:style>
  <w:style w:type="paragraph" w:styleId="Rubrik9">
    <w:name w:val="heading 9"/>
    <w:basedOn w:val="Normal"/>
    <w:next w:val="Normal"/>
    <w:qFormat/>
    <w:pPr>
      <w:numPr>
        <w:ilvl w:val="8"/>
        <w:numId w:val="1"/>
      </w:numPr>
      <w:spacing w:before="240" w:after="60"/>
      <w:outlineLvl w:val="8"/>
    </w:pPr>
    <w:rPr>
      <w:rFonts w:ascii="Arial" w:hAnsi="Arial"/>
      <w:i/>
    </w:rPr>
  </w:style>
  <w:style w:type="character" w:default="1" w:styleId="Standardstycketeckensnitt">
    <w:name w:val="Default Paragraph Font"/>
    <w:uiPriority w:val="1"/>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Rubrik">
    <w:name w:val="Title"/>
    <w:basedOn w:val="Normal"/>
    <w:next w:val="Normal"/>
    <w:uiPriority w:val="10"/>
    <w:qFormat/>
    <w:pPr>
      <w:keepNext/>
      <w:keepLines/>
      <w:spacing w:before="480" w:after="120"/>
    </w:pPr>
    <w:rPr>
      <w:b/>
      <w:bCs/>
      <w:sz w:val="72"/>
      <w:szCs w:val="72"/>
    </w:rPr>
  </w:style>
  <w:style w:type="character" w:styleId="Fotnotsreferens">
    <w:name w:val="footnote reference"/>
    <w:semiHidden/>
    <w:rPr>
      <w:rFonts w:ascii="Times New Roman" w:hAnsi="Times New Roman"/>
      <w:sz w:val="18"/>
      <w:vertAlign w:val="superscript"/>
    </w:rPr>
  </w:style>
  <w:style w:type="paragraph" w:customStyle="1" w:styleId="Author">
    <w:name w:val="Author"/>
    <w:basedOn w:val="Normal"/>
    <w:pPr>
      <w:jc w:val="center"/>
    </w:pPr>
    <w:rPr>
      <w:rFonts w:ascii="Helvetica" w:hAnsi="Helvetica"/>
      <w:sz w:val="24"/>
    </w:rPr>
  </w:style>
  <w:style w:type="paragraph" w:customStyle="1" w:styleId="Paper-Title">
    <w:name w:val="Paper-Title"/>
    <w:basedOn w:val="Normal"/>
    <w:pPr>
      <w:spacing w:after="120"/>
      <w:jc w:val="center"/>
    </w:pPr>
    <w:rPr>
      <w:rFonts w:ascii="Helvetica" w:hAnsi="Helvetica"/>
      <w:b/>
      <w:sz w:val="36"/>
    </w:rPr>
  </w:style>
  <w:style w:type="paragraph" w:customStyle="1" w:styleId="Affiliations">
    <w:name w:val="Affiliations"/>
    <w:basedOn w:val="Normal"/>
    <w:pPr>
      <w:jc w:val="center"/>
    </w:pPr>
    <w:rPr>
      <w:rFonts w:ascii="Helvetica" w:hAnsi="Helvetica"/>
      <w:sz w:val="20"/>
    </w:rPr>
  </w:style>
  <w:style w:type="paragraph" w:styleId="Fotnotstext">
    <w:name w:val="footnote text"/>
    <w:basedOn w:val="Normal"/>
    <w:semiHidden/>
    <w:pPr>
      <w:ind w:left="144" w:hanging="144"/>
    </w:pPr>
  </w:style>
  <w:style w:type="paragraph" w:customStyle="1" w:styleId="Bullet">
    <w:name w:val="Bullet"/>
    <w:basedOn w:val="Normal"/>
    <w:pPr>
      <w:ind w:left="144" w:hanging="144"/>
    </w:pPr>
  </w:style>
  <w:style w:type="paragraph" w:styleId="Sidfot">
    <w:name w:val="footer"/>
    <w:basedOn w:val="Normal"/>
    <w:pPr>
      <w:tabs>
        <w:tab w:val="center" w:pos="4320"/>
        <w:tab w:val="right" w:pos="8640"/>
      </w:tabs>
    </w:pPr>
  </w:style>
  <w:style w:type="paragraph" w:customStyle="1" w:styleId="E-Mail">
    <w:name w:val="E-Mail"/>
    <w:basedOn w:val="Author"/>
    <w:pPr>
      <w:spacing w:after="60"/>
    </w:pPr>
  </w:style>
  <w:style w:type="paragraph" w:customStyle="1" w:styleId="Abstract">
    <w:name w:val="Abstract"/>
    <w:basedOn w:val="Rubrik1"/>
    <w:pPr>
      <w:spacing w:before="0" w:after="120"/>
      <w:jc w:val="both"/>
      <w:outlineLvl w:val="9"/>
    </w:pPr>
    <w:rPr>
      <w:b w:val="0"/>
      <w:sz w:val="18"/>
    </w:rPr>
  </w:style>
  <w:style w:type="paragraph" w:styleId="Numreradlista3">
    <w:name w:val="List Number 3"/>
    <w:basedOn w:val="Normal"/>
    <w:pPr>
      <w:ind w:left="1080" w:hanging="360"/>
    </w:pPr>
  </w:style>
  <w:style w:type="paragraph" w:customStyle="1" w:styleId="Captions">
    <w:name w:val="Captions"/>
    <w:basedOn w:val="Normal"/>
    <w:pPr>
      <w:framePr w:w="4680" w:h="2160" w:hRule="exact" w:hSpace="187" w:wrap="around" w:hAnchor="text" w:yAlign="bottom"/>
      <w:jc w:val="center"/>
    </w:pPr>
    <w:rPr>
      <w:b/>
    </w:rPr>
  </w:style>
  <w:style w:type="paragraph" w:customStyle="1" w:styleId="References">
    <w:name w:val="References"/>
    <w:basedOn w:val="Normal"/>
    <w:pPr>
      <w:numPr>
        <w:numId w:val="2"/>
      </w:numPr>
      <w:jc w:val="left"/>
    </w:pPr>
  </w:style>
  <w:style w:type="character" w:styleId="Sidnummer">
    <w:name w:val="page number"/>
    <w:basedOn w:val="Standardstycketeckensnitt"/>
  </w:style>
  <w:style w:type="paragraph" w:styleId="Brdtextmedindrag">
    <w:name w:val="Body Text Indent"/>
    <w:basedOn w:val="Normal"/>
    <w:pPr>
      <w:spacing w:after="0"/>
      <w:ind w:firstLine="360"/>
    </w:pPr>
  </w:style>
  <w:style w:type="paragraph" w:styleId="Dokumentversikt">
    <w:name w:val="Document Map"/>
    <w:basedOn w:val="Normal"/>
    <w:semiHidden/>
    <w:pPr>
      <w:shd w:val="clear" w:color="auto" w:fill="000080"/>
    </w:pPr>
    <w:rPr>
      <w:rFonts w:ascii="Tahoma" w:hAnsi="Tahoma" w:cs="Tahoma"/>
    </w:rPr>
  </w:style>
  <w:style w:type="paragraph" w:styleId="Beskrivning">
    <w:name w:val="caption"/>
    <w:basedOn w:val="Normal"/>
    <w:next w:val="Normal"/>
    <w:uiPriority w:val="35"/>
    <w:qFormat/>
    <w:pPr>
      <w:jc w:val="center"/>
    </w:pPr>
    <w:rPr>
      <w:rFonts w:cs="Miriam"/>
      <w:b/>
      <w:bCs/>
      <w:lang w:eastAsia="en-AU"/>
    </w:rPr>
  </w:style>
  <w:style w:type="paragraph" w:styleId="Brdtext">
    <w:name w:val="Body Text"/>
    <w:basedOn w:val="Normal"/>
    <w:pPr>
      <w:framePr w:w="4680" w:h="2112" w:hRule="exact" w:hSpace="187" w:wrap="around" w:vAnchor="page" w:hAnchor="page" w:x="1155" w:y="12245"/>
      <w:spacing w:after="0"/>
    </w:pPr>
    <w:rPr>
      <w:sz w:val="16"/>
    </w:rPr>
  </w:style>
  <w:style w:type="character" w:styleId="Hyperlnk">
    <w:name w:val="Hyperlink"/>
    <w:rPr>
      <w:color w:val="0000FF"/>
      <w:u w:val="single"/>
    </w:rPr>
  </w:style>
  <w:style w:type="paragraph" w:styleId="Sidhuvud">
    <w:name w:val="header"/>
    <w:basedOn w:val="Normal"/>
    <w:pPr>
      <w:tabs>
        <w:tab w:val="center" w:pos="4320"/>
        <w:tab w:val="right" w:pos="8640"/>
      </w:tabs>
    </w:pPr>
  </w:style>
  <w:style w:type="character" w:styleId="AnvndHyperlnk">
    <w:name w:val="FollowedHyperlink"/>
    <w:rsid w:val="00C13CC7"/>
    <w:rPr>
      <w:color w:val="800080"/>
      <w:u w:val="single"/>
    </w:rPr>
  </w:style>
  <w:style w:type="character" w:customStyle="1" w:styleId="Rubrik2Char">
    <w:name w:val="Rubrik 2 Char"/>
    <w:basedOn w:val="Standardstycketeckensnitt"/>
    <w:link w:val="Rubrik2"/>
    <w:rsid w:val="00025A8E"/>
    <w:rPr>
      <w:b/>
      <w:kern w:val="28"/>
      <w:sz w:val="24"/>
      <w:lang w:eastAsia="en-US"/>
    </w:rPr>
  </w:style>
  <w:style w:type="paragraph" w:styleId="Underrubrik">
    <w:name w:val="Subtitle"/>
    <w:basedOn w:val="Normal"/>
    <w:next w:val="Normal"/>
    <w:uiPriority w:val="11"/>
    <w:qFormat/>
    <w:pPr>
      <w:keepNext/>
      <w:keepLines/>
      <w:spacing w:before="360"/>
    </w:pPr>
    <w:rPr>
      <w:rFonts w:ascii="Georgia" w:eastAsia="Georgia" w:hAnsi="Georgia" w:cs="Georgia"/>
      <w:i/>
      <w:iCs/>
      <w:color w:val="666666"/>
      <w:sz w:val="48"/>
      <w:szCs w:val="48"/>
    </w:rPr>
  </w:style>
  <w:style w:type="paragraph" w:styleId="Liststycke">
    <w:name w:val="List Paragraph"/>
    <w:basedOn w:val="Normal"/>
    <w:uiPriority w:val="34"/>
    <w:qFormat/>
    <w:rsid w:val="00234873"/>
    <w:pPr>
      <w:ind w:left="720"/>
      <w:contextualSpacing/>
    </w:pPr>
  </w:style>
  <w:style w:type="character" w:styleId="Olstomnmnande">
    <w:name w:val="Unresolved Mention"/>
    <w:basedOn w:val="Standardstycketeckensnitt"/>
    <w:uiPriority w:val="99"/>
    <w:semiHidden/>
    <w:unhideWhenUsed/>
    <w:rsid w:val="006C20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networkrail.co.uk/rail-travel/delays-explained/speed-restrictions/" TargetMode="Externa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link.springer.com/article/10.1007/s40534-026-00431-w" TargetMode="External"/><Relationship Id="rId1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hyperlink" Target="https://www.sciencedirect.com/science/article/pii/S1367578809000546?" TargetMode="External"/><Relationship Id="rId20" Type="http://schemas.openxmlformats.org/officeDocument/2006/relationships/hyperlink" Target="https://lkab.com/press/orsaken-till-stora-ursparningen-pa-malmbanan-faststall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journals.sagepub.com/doi/10.1177/16878132251410377" TargetMode="External"/><Relationship Id="rId5" Type="http://schemas.openxmlformats.org/officeDocument/2006/relationships/webSettings" Target="webSettings.xml"/><Relationship Id="rId15" Type="http://schemas.openxmlformats.org/officeDocument/2006/relationships/hyperlink" Target="https://www.diva-portal.org/smash/record.jsf?pid=diva2:1008306" TargetMode="External"/><Relationship Id="rId10" Type="http://schemas.openxmlformats.org/officeDocument/2006/relationships/hyperlink" Target="https://www.sciencedirect.com/science/article/abs/pii/S0968090X15002326?via%3Dihub" TargetMode="External"/><Relationship Id="rId19" Type="http://schemas.openxmlformats.org/officeDocument/2006/relationships/hyperlink" Target="https://www.europarl.europa.eu/RegData/etudes/STUD/2026/788125/EPRS_STU(2026)788125_EN.pdf," TargetMode="External"/><Relationship Id="rId4" Type="http://schemas.openxmlformats.org/officeDocument/2006/relationships/settings" Target="settings.xml"/><Relationship Id="rId9" Type="http://schemas.openxmlformats.org/officeDocument/2006/relationships/hyperlink" Target="https://shk.se/engelska/the-swedish-accident-investigation-authority/search-investigation/rail/2024-02-19-derailment-of-freight-train-no-9914-at-malmbanan-norrbotten-county" TargetMode="External"/><Relationship Id="rId14" Type="http://schemas.openxmlformats.org/officeDocument/2006/relationships/hyperlink" Target="https://www.diva-portal.org/smash/record.jsf?pid=diva2:1001726"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uUgrTnl8fA7tOCSjTHWnungJQ==">CgMxLjAyD2lkLnl4MnAxa2o4Y3FqajIPaWQuYmwwNGx2dWN0MWphMg9pZC52c29rdm91OHNsc2EyD2lkLmpwaTZ5YzF6dTQ1MTgAciExUmtwdGhPLWdzY0IxemVmOWdYUlRDQTRwZzVlbU1GTmQ=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185</TotalTime>
  <Pages>3</Pages>
  <Words>2077</Words>
  <Characters>11012</Characters>
  <Application>Microsoft Office Word</Application>
  <DocSecurity>0</DocSecurity>
  <Lines>91</Lines>
  <Paragraphs>26</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eMaintenance2010</dc:creator>
  <cp:lastModifiedBy>Viktor Lindberg</cp:lastModifiedBy>
  <cp:revision>7</cp:revision>
  <dcterms:created xsi:type="dcterms:W3CDTF">2025-09-04T09:42:00Z</dcterms:created>
  <dcterms:modified xsi:type="dcterms:W3CDTF">2026-10-05T10:52:00Z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0x010100933580D1C8EA284F9CC81273C3D81153</vt:lpwstr>
  </property>
  <property fmtid="{D5CDD505-2E9C-101B-9397-08002B2CF9AE}" pid="3" name="MediaServiceImageTags">
    <vt:lpwstr/>
  </property>
  <property fmtid="{D5CDD505-2E9C-101B-9397-08002B2CF9AE}" pid="4" name="GrammarlyDocumentId">
    <vt:lpwstr>1be8b635-293b-48ae-a955-8e634a071dc8</vt:lpwstr>
  </property>
</Properties>
</file>