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ectPr>
          <w:footerReference r:id="rId7" w:type="even"/>
          <w:pgSz w:h="15840" w:w="12240" w:orient="portrait"/>
          <w:pgMar w:bottom="1440" w:top="1440" w:left="1080" w:right="1080" w:header="720" w:footer="720"/>
          <w:pgNumType w:start="1"/>
        </w:sectPr>
      </w:pPr>
      <w:r w:rsidDel="00000000" w:rsidR="00000000" w:rsidRPr="00000000">
        <w:rPr>
          <w:rFonts w:ascii="Helvetica Neue" w:cs="Helvetica Neue" w:eastAsia="Helvetica Neue" w:hAnsi="Helvetica Neue"/>
          <w:b w:val="1"/>
          <w:bCs w:val="1"/>
          <w:sz w:val="36"/>
          <w:szCs w:val="36"/>
          <w:rtl w:val="0"/>
        </w:rPr>
        <w:t xml:space="preserve">Word Template for D7016B Final Project Report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Author’s Name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Author's affiliation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1440" w:top="1440" w:left="1080" w:right="1080" w:header="720" w:footer="72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this report, we describe the formatting guidelines for D7016B Course’s report.  The abstract is to be in 9-point, single-spaced type, and up to 250 words in length. Leave two blank lines after the abstract, then begin the main text.</w:t>
      </w:r>
    </w:p>
    <w:p w:rsidR="00000000" w:rsidDel="00000000" w:rsidP="00000000" w:rsidRDefault="00000000" w:rsidRPr="00000000" w14:paraId="00000009">
      <w:pPr>
        <w:spacing w:after="0" w:before="120" w:lineRule="auto"/>
        <w:rPr/>
      </w:pPr>
      <w:r w:rsidDel="00000000" w:rsidR="00000000" w:rsidRPr="00000000">
        <w:rPr>
          <w:b w:val="1"/>
          <w:bCs w:val="1"/>
          <w:sz w:val="24"/>
          <w:szCs w:val="24"/>
          <w:rtl w:val="0"/>
        </w:rPr>
        <w:t xml:space="preserve">Keywords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t xml:space="preserve">Point cloud processing; railway track geometry; fault classification; clustering; principal Component Analysis; track quality index; eMaintenance; Industrial AI</w:t>
      </w:r>
    </w:p>
    <w:p w:rsidR="00000000" w:rsidDel="00000000" w:rsidP="00000000" w:rsidRDefault="00000000" w:rsidRPr="00000000" w14:paraId="0000000B">
      <w:pPr>
        <w:pStyle w:val="Heading1"/>
        <w:numPr>
          <w:ilvl w:val="0"/>
          <w:numId w:val="1"/>
        </w:numPr>
        <w:spacing w:before="120" w:lineRule="auto"/>
        <w:rPr/>
      </w:pPr>
      <w:r w:rsidDel="00000000" w:rsidR="00000000" w:rsidRPr="00000000">
        <w:rPr>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The railway is likely to become a core pillar of future transport by 2050. This however relies on major improvements in infrastructure, digitalization, and therefore maintenance.  (</w:t>
      </w:r>
      <w:hyperlink r:id="rId8">
        <w:r w:rsidDel="00000000" w:rsidR="00000000" w:rsidRPr="00000000">
          <w:rPr>
            <w:color w:val="1155cc"/>
            <w:u w:val="single"/>
            <w:rtl w:val="0"/>
          </w:rPr>
          <w:t xml:space="preserve">KÄLLA</w:t>
        </w:r>
      </w:hyperlink>
      <w:r w:rsidDel="00000000" w:rsidR="00000000" w:rsidRPr="00000000">
        <w:rPr>
          <w:rtl w:val="0"/>
        </w:rPr>
        <w:t xml:space="preserve"> 1</w:t>
      </w:r>
      <w:r w:rsidDel="00000000" w:rsidR="00000000" w:rsidRPr="00000000">
        <w:rPr>
          <w:rtl w:val="0"/>
        </w:rPr>
        <w:t xml:space="preserve">). Railway track degrades continuously under traffic, and the consequences of derailment can be very costly and dangerous. For instance, on 17 December 2023, in the north of Sweden a derailment stopped LKAB’s iron ore transport for 65 days, causing an estimated loss of 100 million SEK in revenue per day - 6,5 billion SEK in total. </w:t>
      </w:r>
      <w:hyperlink r:id="rId9">
        <w:r w:rsidDel="00000000" w:rsidR="00000000" w:rsidRPr="00000000">
          <w:rPr>
            <w:color w:val="1155cc"/>
            <w:u w:val="single"/>
            <w:rtl w:val="0"/>
          </w:rPr>
          <w:t xml:space="preserve">(LKAB, 2025)</w:t>
        </w:r>
      </w:hyperlink>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The investigation found that the derailment began with a fatigue crack in the flange of one wheel, damaging about 15 kilometers of track before several wagons derailed. The wheel had met applicable standards with no problems reported in its maintenance history (</w:t>
      </w:r>
      <w:hyperlink r:id="rId10">
        <w:r w:rsidDel="00000000" w:rsidR="00000000" w:rsidRPr="00000000">
          <w:rPr>
            <w:color w:val="1155cc"/>
            <w:u w:val="single"/>
            <w:rtl w:val="0"/>
          </w:rPr>
          <w:t xml:space="preserve">KÄLLA 4</w:t>
        </w:r>
      </w:hyperlink>
      <w:r w:rsidDel="00000000" w:rsidR="00000000" w:rsidRPr="00000000">
        <w:rPr>
          <w:rtl w:val="0"/>
        </w:rPr>
        <w:t xml:space="preserve">). A European cost-benefit study also found that wheel failures had the highest projected cumulative cost among the eight derailment causes that were examined (</w:t>
      </w:r>
      <w:hyperlink r:id="rId11">
        <w:r w:rsidDel="00000000" w:rsidR="00000000" w:rsidRPr="00000000">
          <w:rPr>
            <w:color w:val="1155cc"/>
            <w:u w:val="single"/>
            <w:rtl w:val="0"/>
          </w:rPr>
          <w:t xml:space="preserve">KÄLLA 3</w:t>
        </w:r>
      </w:hyperlink>
      <w:r w:rsidDel="00000000" w:rsidR="00000000" w:rsidRPr="00000000">
        <w:rPr>
          <w:rtl w:val="0"/>
        </w:rPr>
        <w:t xml:space="preserve">). Studies show that poor track conditions can increase wheel and rail wear, reduce stability, and raise the risk of derailment  (</w:t>
      </w:r>
      <w:hyperlink r:id="rId12">
        <w:r w:rsidDel="00000000" w:rsidR="00000000" w:rsidRPr="00000000">
          <w:rPr>
            <w:color w:val="1155cc"/>
            <w:u w:val="single"/>
            <w:rtl w:val="0"/>
          </w:rPr>
          <w:t xml:space="preserve">Maglio, 2023</w:t>
        </w:r>
      </w:hyperlink>
      <w:r w:rsidDel="00000000" w:rsidR="00000000" w:rsidRPr="00000000">
        <w:rPr>
          <w:rtl w:val="0"/>
        </w:rPr>
        <w:t xml:space="preserve">; </w:t>
      </w:r>
      <w:hyperlink r:id="rId13">
        <w:r w:rsidDel="00000000" w:rsidR="00000000" w:rsidRPr="00000000">
          <w:rPr>
            <w:color w:val="1155cc"/>
            <w:u w:val="single"/>
            <w:rtl w:val="0"/>
          </w:rPr>
          <w:t xml:space="preserve">Hu et al., 2025</w:t>
        </w:r>
      </w:hyperlink>
      <w:r w:rsidDel="00000000" w:rsidR="00000000" w:rsidRPr="00000000">
        <w:rPr>
          <w:rtl w:val="0"/>
        </w:rPr>
        <w:t xml:space="preserve">; </w:t>
      </w:r>
      <w:hyperlink r:id="rId14">
        <w:r w:rsidDel="00000000" w:rsidR="00000000" w:rsidRPr="00000000">
          <w:rPr>
            <w:color w:val="1155cc"/>
            <w:u w:val="single"/>
            <w:rtl w:val="0"/>
          </w:rPr>
          <w:t xml:space="preserve">Yadav et al., 2026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Today, beyond safety concerns, worn or defective tracks require temporary speed restrictions, and track downtime until repairs are completed. This leads to delays, reduced availability, higher maintenance and operating costs (</w:t>
      </w:r>
      <w:hyperlink r:id="rId15">
        <w:r w:rsidDel="00000000" w:rsidR="00000000" w:rsidRPr="00000000">
          <w:rPr>
            <w:color w:val="1155cc"/>
            <w:u w:val="single"/>
            <w:rtl w:val="0"/>
          </w:rPr>
          <w:t xml:space="preserve">Network Rail, 2026</w:t>
        </w:r>
      </w:hyperlink>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Downtime reflects weakness in the railway infrastructure and makes the railway less reliable as a core pillar for future transport. With digitalization growing exponentially, eMaintenance can be utilized toward a more proactive approach. eMaintenance can be described as the modern way of maintenance management utilizing technology and digital solutions such as sensors, IoT, and software to monitor data from for example equipment or machines. The purpose of eMaintenance is to “predict and prevent”, not “fail and fix” (</w:t>
      </w:r>
      <w:hyperlink r:id="rId16">
        <w:r w:rsidDel="00000000" w:rsidR="00000000" w:rsidRPr="00000000">
          <w:rPr>
            <w:color w:val="1155cc"/>
            <w:u w:val="single"/>
            <w:rtl w:val="0"/>
          </w:rPr>
          <w:t xml:space="preserve">Iung et al., 2009</w:t>
        </w:r>
      </w:hyperlink>
      <w:r w:rsidDel="00000000" w:rsidR="00000000" w:rsidRPr="00000000">
        <w:rPr>
          <w:rtl w:val="0"/>
        </w:rPr>
        <w:t xml:space="preserve">). By doing this, it enables maintenance planning to be more proactive, reducing downtime, and increasing the life span of equipment. In an industrial context, this creates value for organizations as it allows them to save resources, increase productivity and efficiency (</w:t>
      </w:r>
      <w:hyperlink r:id="rId17">
        <w:r w:rsidDel="00000000" w:rsidR="00000000" w:rsidRPr="00000000">
          <w:rPr>
            <w:color w:val="1155cc"/>
            <w:u w:val="single"/>
            <w:rtl w:val="0"/>
          </w:rPr>
          <w:t xml:space="preserve">Candell &amp; Karim, 2008</w:t>
        </w:r>
      </w:hyperlink>
      <w:r w:rsidDel="00000000" w:rsidR="00000000" w:rsidRPr="00000000">
        <w:rPr>
          <w:rtl w:val="0"/>
        </w:rPr>
        <w:t xml:space="preserve">; </w:t>
      </w:r>
      <w:hyperlink r:id="rId18">
        <w:r w:rsidDel="00000000" w:rsidR="00000000" w:rsidRPr="00000000">
          <w:rPr>
            <w:color w:val="1155cc"/>
            <w:u w:val="single"/>
            <w:rtl w:val="0"/>
          </w:rPr>
          <w:t xml:space="preserve">Kajko-Mattsson et al., 2010</w:t>
        </w:r>
      </w:hyperlink>
      <w:r w:rsidDel="00000000" w:rsidR="00000000" w:rsidRPr="00000000">
        <w:rPr>
          <w:rtl w:val="0"/>
        </w:rPr>
        <w:t xml:space="preserve">; </w:t>
      </w:r>
      <w:hyperlink r:id="rId19">
        <w:r w:rsidDel="00000000" w:rsidR="00000000" w:rsidRPr="00000000">
          <w:rPr>
            <w:color w:val="1155cc"/>
            <w:u w:val="single"/>
            <w:rtl w:val="0"/>
          </w:rPr>
          <w:t xml:space="preserve">Iung et al., 2009</w:t>
        </w:r>
      </w:hyperlink>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rPr>
      </w:pPr>
      <w:r w:rsidDel="00000000" w:rsidR="00000000" w:rsidRPr="00000000">
        <w:rPr>
          <w:b w:val="1"/>
          <w:bCs w:val="1"/>
          <w:rtl w:val="0"/>
        </w:rPr>
        <w:t xml:space="preserve">Introduction is to be continued with: </w:t>
      </w:r>
    </w:p>
    <w:p w:rsidR="00000000" w:rsidDel="00000000" w:rsidP="00000000" w:rsidRDefault="00000000" w:rsidRPr="00000000" w14:paraId="00000013">
      <w:pPr>
        <w:numPr>
          <w:ilvl w:val="0"/>
          <w:numId w:val="4"/>
        </w:numPr>
        <w:spacing w:after="0" w:afterAutospacing="0" w:lineRule="auto"/>
        <w:ind w:left="720" w:hanging="360"/>
        <w:rPr>
          <w:u w:val="none"/>
        </w:rPr>
      </w:pPr>
      <w:r w:rsidDel="00000000" w:rsidR="00000000" w:rsidRPr="00000000">
        <w:rPr>
          <w:rtl w:val="0"/>
        </w:rPr>
        <w:t xml:space="preserve">Connect vibration/acceleration data to maintenance decisions</w:t>
      </w:r>
    </w:p>
    <w:p w:rsidR="00000000" w:rsidDel="00000000" w:rsidP="00000000" w:rsidRDefault="00000000" w:rsidRPr="00000000" w14:paraId="00000014">
      <w:pPr>
        <w:numPr>
          <w:ilvl w:val="0"/>
          <w:numId w:val="4"/>
        </w:numPr>
        <w:spacing w:after="0" w:afterAutospacing="0" w:lineRule="auto"/>
        <w:ind w:left="720" w:hanging="360"/>
        <w:rPr>
          <w:u w:val="none"/>
        </w:rPr>
      </w:pPr>
      <w:r w:rsidDel="00000000" w:rsidR="00000000" w:rsidRPr="00000000">
        <w:rPr>
          <w:rtl w:val="0"/>
        </w:rPr>
        <w:t xml:space="preserve">Connect 3d point cloud / geometric data to maintenance decisions </w:t>
      </w:r>
    </w:p>
    <w:p w:rsidR="00000000" w:rsidDel="00000000" w:rsidP="00000000" w:rsidRDefault="00000000" w:rsidRPr="00000000" w14:paraId="00000015">
      <w:pPr>
        <w:numPr>
          <w:ilvl w:val="0"/>
          <w:numId w:val="4"/>
        </w:numPr>
        <w:spacing w:after="120" w:lineRule="auto"/>
        <w:ind w:left="720" w:hanging="360"/>
        <w:rPr>
          <w:u w:val="none"/>
        </w:rPr>
      </w:pPr>
      <w:r w:rsidDel="00000000" w:rsidR="00000000" w:rsidRPr="00000000">
        <w:rPr>
          <w:rtl w:val="0"/>
        </w:rPr>
        <w:t xml:space="preserve">Explain the idea of the project - to cluster and classify abnormal events based on geometric faults and train a SVM that can predict these without geometric data. </w:t>
      </w:r>
      <w:r w:rsidDel="00000000" w:rsidR="00000000" w:rsidRPr="00000000">
        <w:rPr>
          <w:rtl w:val="0"/>
        </w:rPr>
      </w:r>
    </w:p>
    <w:p w:rsidR="00000000" w:rsidDel="00000000" w:rsidP="00000000" w:rsidRDefault="00000000" w:rsidRPr="00000000" w14:paraId="00000016">
      <w:pPr>
        <w:pStyle w:val="Heading1"/>
        <w:numPr>
          <w:ilvl w:val="0"/>
          <w:numId w:val="1"/>
        </w:numPr>
        <w:spacing w:before="120" w:lineRule="auto"/>
        <w:rPr/>
      </w:pPr>
      <w:r w:rsidDel="00000000" w:rsidR="00000000" w:rsidRPr="00000000">
        <w:rPr>
          <w:rtl w:val="0"/>
        </w:rPr>
        <w:t xml:space="preserve">PAGE SIZE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material on each page should fit within a rectangle of 18 x 23.5 cm (7" x 9.25"), centred on the page, beginning 2.54 cm (1") from the top of the page and ending with 2.54 cm (1") from the bottom.  The right and left margins should be 1.9 cm (.75”).The text should be in two 8.45 cm (3.33") columns with a .83 cm (.33") gutter.</w:t>
      </w:r>
    </w:p>
    <w:p w:rsidR="00000000" w:rsidDel="00000000" w:rsidP="00000000" w:rsidRDefault="00000000" w:rsidRPr="00000000" w14:paraId="00000018">
      <w:pPr>
        <w:pStyle w:val="Heading1"/>
        <w:numPr>
          <w:ilvl w:val="0"/>
          <w:numId w:val="1"/>
        </w:numPr>
        <w:spacing w:before="120" w:lineRule="auto"/>
        <w:rPr/>
      </w:pPr>
      <w:r w:rsidDel="00000000" w:rsidR="00000000" w:rsidRPr="00000000">
        <w:rPr>
          <w:rtl w:val="0"/>
        </w:rPr>
        <w:t xml:space="preserve">TYPESET TEXT</w:t>
      </w:r>
    </w:p>
    <w:p w:rsidR="00000000" w:rsidDel="00000000" w:rsidP="00000000" w:rsidRDefault="00000000" w:rsidRPr="00000000" w14:paraId="00000019">
      <w:pPr>
        <w:pStyle w:val="Heading2"/>
        <w:numPr>
          <w:ilvl w:val="1"/>
          <w:numId w:val="1"/>
        </w:numPr>
        <w:spacing w:before="0" w:lineRule="auto"/>
        <w:rPr/>
      </w:pPr>
      <w:r w:rsidDel="00000000" w:rsidR="00000000" w:rsidRPr="00000000">
        <w:rPr>
          <w:rtl w:val="0"/>
        </w:rPr>
        <w:t xml:space="preserve">Normal or Body Text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rsidR="00000000" w:rsidDel="00000000" w:rsidP="00000000" w:rsidRDefault="00000000" w:rsidRPr="00000000" w14:paraId="0000001B">
      <w:pPr>
        <w:pStyle w:val="Heading2"/>
        <w:numPr>
          <w:ilvl w:val="1"/>
          <w:numId w:val="1"/>
        </w:numPr>
        <w:spacing w:before="120" w:lineRule="auto"/>
        <w:rPr/>
      </w:pPr>
      <w:r w:rsidDel="00000000" w:rsidR="00000000" w:rsidRPr="00000000">
        <w:rPr>
          <w:rtl w:val="0"/>
        </w:rPr>
        <w:t xml:space="preserve">Title and Authors</w:t>
      </w:r>
    </w:p>
    <w:p w:rsidR="00000000" w:rsidDel="00000000" w:rsidP="00000000" w:rsidRDefault="00000000" w:rsidRPr="00000000" w14:paraId="0000001C">
      <w:pPr>
        <w:spacing w:after="120" w:lineRule="auto"/>
        <w:rPr/>
      </w:pPr>
      <w:r w:rsidDel="00000000" w:rsidR="00000000" w:rsidRPr="00000000">
        <w:rPr>
          <w:rtl w:val="0"/>
        </w:rPr>
        <w:t xml:space="preserve">The title (Helvetica 18-point bold), authors' names (Helvetica 12-point) and affiliations (Helvetica 10-point) run across the full width of the page – one column wide. We also recommend phone number (Helvetica 10-point) and e-mail address (Helvetica 12-point). See the top of this page for three addresses. If only one address is needed, center all address text. For two addresses, use two centered tabs, and so on. For more than three authors, you may have to improvise.</w:t>
      </w:r>
    </w:p>
    <w:p w:rsidR="00000000" w:rsidDel="00000000" w:rsidP="00000000" w:rsidRDefault="00000000" w:rsidRPr="00000000" w14:paraId="0000001D">
      <w:pPr>
        <w:pStyle w:val="Heading2"/>
        <w:numPr>
          <w:ilvl w:val="1"/>
          <w:numId w:val="1"/>
        </w:numPr>
        <w:spacing w:before="120" w:lineRule="auto"/>
        <w:rPr/>
      </w:pPr>
      <w:r w:rsidDel="00000000" w:rsidR="00000000" w:rsidRPr="00000000">
        <w:rPr>
          <w:rtl w:val="0"/>
        </w:rPr>
        <w:t xml:space="preserve">First Page Copyright Notice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Please leave 3.81 cm (1.5") of blank text box at the bottom of the left column of the first page for the copyright notice.</w:t>
      </w:r>
    </w:p>
    <w:p w:rsidR="00000000" w:rsidDel="00000000" w:rsidP="00000000" w:rsidRDefault="00000000" w:rsidRPr="00000000" w14:paraId="0000001F">
      <w:pPr>
        <w:pStyle w:val="Heading2"/>
        <w:numPr>
          <w:ilvl w:val="1"/>
          <w:numId w:val="1"/>
        </w:numPr>
        <w:spacing w:before="120" w:lineRule="auto"/>
        <w:rPr/>
      </w:pPr>
      <w:r w:rsidDel="00000000" w:rsidR="00000000" w:rsidRPr="00000000">
        <w:rPr>
          <w:rtl w:val="0"/>
        </w:rPr>
        <w:t xml:space="preserve">Subsequent Pages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pages other than the first page, start at the top of the page, and continue in double-column format.  The two columns on the last page should be as close to equal length as possible.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1. Table captions should be placed above the table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076264" cy="856630"/>
            <wp:effectExtent b="0" l="0" r="0" t="0"/>
            <wp:docPr id="3" name="image2.png"/>
            <a:graphic>
              <a:graphicData uri="http://schemas.openxmlformats.org/drawingml/2006/picture">
                <pic:pic>
                  <pic:nvPicPr>
                    <pic:cNvPr id="0" name="image2.png"/>
                    <pic:cNvPicPr preferRelativeResize="0"/>
                  </pic:nvPicPr>
                  <pic:blipFill>
                    <a:blip r:embed="rId20"/>
                    <a:srcRect b="14078" l="0" r="0" t="0"/>
                    <a:stretch>
                      <a:fillRect/>
                    </a:stretch>
                  </pic:blipFill>
                  <pic:spPr>
                    <a:xfrm>
                      <a:off x="0" y="0"/>
                      <a:ext cx="3076264" cy="85663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numPr>
          <w:ilvl w:val="1"/>
          <w:numId w:val="1"/>
        </w:numPr>
        <w:spacing w:before="120" w:lineRule="auto"/>
        <w:rPr/>
      </w:pPr>
      <w:r w:rsidDel="00000000" w:rsidR="00000000" w:rsidRPr="00000000">
        <w:rPr>
          <w:rtl w:val="0"/>
        </w:rPr>
        <w:t xml:space="preserve">References and Citations</w:t>
      </w:r>
    </w:p>
    <w:p w:rsidR="00000000" w:rsidDel="00000000" w:rsidP="00000000" w:rsidRDefault="00000000" w:rsidRPr="00000000" w14:paraId="00000025">
      <w:pPr>
        <w:spacing w:after="120" w:lineRule="auto"/>
        <w:rPr/>
      </w:pPr>
      <w:r w:rsidDel="00000000" w:rsidR="00000000" w:rsidRPr="00000000">
        <w:rPr>
          <w:rtl w:val="0"/>
        </w:rPr>
        <w:t xml:space="preserve">Footnotes should be Times New Roman 9-point, and justified to the full width of the column.</w:t>
      </w:r>
    </w:p>
    <w:p w:rsidR="00000000" w:rsidDel="00000000" w:rsidP="00000000" w:rsidRDefault="00000000" w:rsidRPr="00000000" w14:paraId="00000026">
      <w:pPr>
        <w:spacing w:after="120" w:lineRule="auto"/>
        <w:rPr/>
      </w:pPr>
      <w:r w:rsidDel="00000000" w:rsidR="00000000" w:rsidRPr="00000000">
        <w:rPr>
          <w:rtl w:val="0"/>
        </w:rPr>
        <w:t xml:space="preserve">Number citations consecutively in square brackets [1]. The sentence punctuation follows the brackets [2]. Multiple references [2], [3] are each numbered with separate brackets [1]–[3].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 Smith, C.D. Jones, and E.F. Roberts (Date). “Article Title”,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Journal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Publisher, Volume(Issue),  pp. 1-10.</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Jones, C.D., A.B. Smith, and E.F. Roberts (Date).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Book Title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Publisher, Location.</w:t>
      </w:r>
    </w:p>
    <w:p w:rsidR="00000000" w:rsidDel="00000000" w:rsidP="00000000" w:rsidRDefault="00000000" w:rsidRPr="00000000" w14:paraId="00000029">
      <w:pPr>
        <w:spacing w:after="120" w:lineRule="auto"/>
        <w:rPr/>
      </w:pPr>
      <w:r w:rsidDel="00000000" w:rsidR="00000000" w:rsidRPr="00000000">
        <w:rPr>
          <w:rtl w:val="0"/>
        </w:rPr>
        <w:t xml:space="preserve">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be acknowledged, not referenced (e.g., “[Nilsson, personal communication]”).</w:t>
      </w:r>
    </w:p>
    <w:p w:rsidR="00000000" w:rsidDel="00000000" w:rsidP="00000000" w:rsidRDefault="00000000" w:rsidRPr="00000000" w14:paraId="0000002A">
      <w:pPr>
        <w:pStyle w:val="Heading2"/>
        <w:numPr>
          <w:ilvl w:val="1"/>
          <w:numId w:val="1"/>
        </w:numPr>
        <w:spacing w:before="120" w:lineRule="auto"/>
        <w:rPr/>
      </w:pPr>
      <w:r w:rsidDel="00000000" w:rsidR="00000000" w:rsidRPr="00000000">
        <w:rPr>
          <w:rtl w:val="0"/>
        </w:rPr>
        <w:t xml:space="preserve">Page Numbering, Headers and Footers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 not include headers, footers or page numbers in your submission. These will be added when the publications are assembled.</w:t>
      </w:r>
    </w:p>
    <w:p w:rsidR="00000000" w:rsidDel="00000000" w:rsidP="00000000" w:rsidRDefault="00000000" w:rsidRPr="00000000" w14:paraId="0000002C">
      <w:pPr>
        <w:pStyle w:val="Heading2"/>
        <w:numPr>
          <w:ilvl w:val="1"/>
          <w:numId w:val="1"/>
        </w:numPr>
        <w:spacing w:before="120" w:lineRule="auto"/>
        <w:rPr/>
      </w:pPr>
      <w:r w:rsidDel="00000000" w:rsidR="00000000" w:rsidRPr="00000000">
        <w:rPr>
          <w:rtl w:val="0"/>
        </w:rPr>
        <w:t xml:space="preserve">Report length </w:t>
      </w:r>
    </w:p>
    <w:p w:rsidR="00000000" w:rsidDel="00000000" w:rsidP="00000000" w:rsidRDefault="00000000" w:rsidRPr="00000000" w14:paraId="0000002D">
      <w:pPr>
        <w:rPr/>
      </w:pPr>
      <w:r w:rsidDel="00000000" w:rsidR="00000000" w:rsidRPr="00000000">
        <w:rPr>
          <w:rtl w:val="0"/>
        </w:rPr>
        <w:t xml:space="preserve">The length of the full report, including the references should not exceed six pages.  </w:t>
      </w:r>
    </w:p>
    <w:p w:rsidR="00000000" w:rsidDel="00000000" w:rsidP="00000000" w:rsidRDefault="00000000" w:rsidRPr="00000000" w14:paraId="0000002E">
      <w:pPr>
        <w:pStyle w:val="Heading1"/>
        <w:numPr>
          <w:ilvl w:val="0"/>
          <w:numId w:val="1"/>
        </w:numPr>
        <w:spacing w:before="120" w:lineRule="auto"/>
        <w:rPr/>
      </w:pPr>
      <w:r w:rsidDel="00000000" w:rsidR="00000000" w:rsidRPr="00000000">
        <w:rPr>
          <w:rtl w:val="0"/>
        </w:rPr>
        <w:t xml:space="preserve">FIGURES/CAPTIONS</w:t>
      </w:r>
    </w:p>
    <w:p w:rsidR="00000000" w:rsidDel="00000000" w:rsidP="00000000" w:rsidRDefault="00000000" w:rsidRPr="00000000" w14:paraId="0000002F">
      <w:pPr>
        <w:spacing w:after="120" w:lineRule="auto"/>
        <w:rPr/>
      </w:pPr>
      <w:r w:rsidDel="00000000" w:rsidR="00000000" w:rsidRPr="00000000">
        <w:rPr>
          <w:rtl w:val="0"/>
        </w:rPr>
        <w:t xml:space="preserve">Place Tables/Figures/Images in text as close to the reference as possible (see Figure 1).  It may extend across both columns to a maximum width of 17.78 cm (7”).</w:t>
      </w:r>
    </w:p>
    <w:p w:rsidR="00000000" w:rsidDel="00000000" w:rsidP="00000000" w:rsidRDefault="00000000" w:rsidRPr="00000000" w14:paraId="00000030">
      <w:pPr>
        <w:spacing w:after="120" w:lineRule="auto"/>
        <w:rPr/>
      </w:pPr>
      <w:r w:rsidDel="00000000" w:rsidR="00000000" w:rsidRPr="00000000">
        <w:rPr>
          <w:rtl w:val="0"/>
        </w:rPr>
        <w:t xml:space="preserve">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rsidR="00000000" w:rsidDel="00000000" w:rsidP="00000000" w:rsidRDefault="00000000" w:rsidRPr="00000000" w14:paraId="00000031">
      <w:pPr>
        <w:pStyle w:val="Heading1"/>
        <w:numPr>
          <w:ilvl w:val="0"/>
          <w:numId w:val="1"/>
        </w:numPr>
        <w:spacing w:before="120" w:lineRule="auto"/>
        <w:rPr/>
      </w:pPr>
      <w:r w:rsidDel="00000000" w:rsidR="00000000" w:rsidRPr="00000000">
        <w:rPr>
          <w:rtl w:val="0"/>
        </w:rPr>
        <w:t xml:space="preserve">SECTIONS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heading of a section should be in Times New Roman 12-point bold in all-capitals flush left with an additional 6-points of white space above the section head.  Sections and subsequent sub- sections should be numbered and flush left. For a section head and a subsection head together (such as Section 3 and subsection 3.1), use no additional space above the subsection head.</w:t>
      </w:r>
    </w:p>
    <w:p w:rsidR="00000000" w:rsidDel="00000000" w:rsidP="00000000" w:rsidRDefault="00000000" w:rsidRPr="00000000" w14:paraId="00000033">
      <w:pPr>
        <w:pStyle w:val="Heading2"/>
        <w:numPr>
          <w:ilvl w:val="1"/>
          <w:numId w:val="1"/>
        </w:numPr>
        <w:spacing w:before="120" w:lineRule="auto"/>
        <w:rPr/>
      </w:pPr>
      <w:r w:rsidDel="00000000" w:rsidR="00000000" w:rsidRPr="00000000">
        <w:rPr>
          <w:rtl w:val="0"/>
        </w:rPr>
        <w:t xml:space="preserve">Subsections</w:t>
      </w:r>
    </w:p>
    <w:p w:rsidR="00000000" w:rsidDel="00000000" w:rsidP="00000000" w:rsidRDefault="00000000" w:rsidRPr="00000000" w14:paraId="00000034">
      <w:pPr>
        <w:spacing w:after="120" w:lineRule="auto"/>
        <w:rPr/>
      </w:pPr>
      <w:r w:rsidDel="00000000" w:rsidR="00000000" w:rsidRPr="00000000">
        <w:rPr>
          <w:rtl w:val="0"/>
        </w:rPr>
        <w:t xml:space="preserve">The heading of subsections should be in Times New Roman 12-point bold with only the initial letters capitalized. (Note: For subsections and subsubsections, a word like </w:t>
      </w:r>
      <w:r w:rsidDel="00000000" w:rsidR="00000000" w:rsidRPr="00000000">
        <w:rPr>
          <w:i w:val="1"/>
          <w:iCs w:val="1"/>
          <w:rtl w:val="0"/>
        </w:rPr>
        <w:t xml:space="preserve">the</w:t>
      </w:r>
      <w:r w:rsidDel="00000000" w:rsidR="00000000" w:rsidRPr="00000000">
        <w:rPr>
          <w:rtl w:val="0"/>
        </w:rPr>
        <w:t xml:space="preserve"> or </w:t>
      </w:r>
      <w:r w:rsidDel="00000000" w:rsidR="00000000" w:rsidRPr="00000000">
        <w:rPr>
          <w:i w:val="1"/>
          <w:iCs w:val="1"/>
          <w:rtl w:val="0"/>
        </w:rPr>
        <w:t xml:space="preserve">a</w:t>
      </w:r>
      <w:r w:rsidDel="00000000" w:rsidR="00000000" w:rsidRPr="00000000">
        <w:rPr>
          <w:rtl w:val="0"/>
        </w:rPr>
        <w:t xml:space="preserve"> is not capitalized unless it is the first word of the header.)</w:t>
      </w:r>
    </w:p>
    <w:p w:rsidR="00000000" w:rsidDel="00000000" w:rsidP="00000000" w:rsidRDefault="00000000" w:rsidRPr="00000000" w14:paraId="00000035">
      <w:pPr>
        <w:pStyle w:val="Heading3"/>
        <w:numPr>
          <w:ilvl w:val="2"/>
          <w:numId w:val="1"/>
        </w:numPr>
        <w:spacing w:before="120" w:lineRule="auto"/>
        <w:rPr/>
      </w:pPr>
      <w:r w:rsidDel="00000000" w:rsidR="00000000" w:rsidRPr="00000000">
        <w:rPr>
          <w:rtl w:val="0"/>
        </w:rPr>
        <w:t xml:space="preserve">Subsubsections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heading for subsubsections should be in Times New Roman 11-point italic with initial letters capitalized and 6-points of white space above the subsubsection head.</w:t>
      </w:r>
    </w:p>
    <w:p w:rsidR="00000000" w:rsidDel="00000000" w:rsidP="00000000" w:rsidRDefault="00000000" w:rsidRPr="00000000" w14:paraId="00000037">
      <w:pPr>
        <w:pStyle w:val="Heading4"/>
        <w:numPr>
          <w:ilvl w:val="3"/>
          <w:numId w:val="1"/>
        </w:numPr>
        <w:spacing w:before="120" w:lineRule="auto"/>
        <w:rPr/>
      </w:pPr>
      <w:r w:rsidDel="00000000" w:rsidR="00000000" w:rsidRPr="00000000">
        <w:rPr>
          <w:rtl w:val="0"/>
        </w:rPr>
        <w:t xml:space="preserve">Subsubsections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heading for subsubsections should be in Times New Roman 11-point italic with initial letters capitalized.</w:t>
      </w:r>
    </w:p>
    <w:p w:rsidR="00000000" w:rsidDel="00000000" w:rsidP="00000000" w:rsidRDefault="00000000" w:rsidRPr="00000000" w14:paraId="00000039">
      <w:pPr>
        <w:pStyle w:val="Heading4"/>
        <w:numPr>
          <w:ilvl w:val="3"/>
          <w:numId w:val="1"/>
        </w:numPr>
        <w:spacing w:before="120" w:lineRule="auto"/>
        <w:rPr/>
      </w:pPr>
      <w:r w:rsidDel="00000000" w:rsidR="00000000" w:rsidRPr="00000000">
        <w:rPr>
          <w:rtl w:val="0"/>
        </w:rPr>
        <w:t xml:space="preserve">Subsubsections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heading for subsubsections should be in Times New Roman 11-point italic with initial letters capitalized.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Columns on Last Page Should Be Made As Close As Possible to Equal Length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319020" cy="215773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319020" cy="215773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1. Insert caption to place caption below figure.</w:t>
      </w:r>
    </w:p>
    <w:p w:rsidR="00000000" w:rsidDel="00000000" w:rsidP="00000000" w:rsidRDefault="00000000" w:rsidRPr="00000000" w14:paraId="00000040">
      <w:pPr>
        <w:pStyle w:val="Heading1"/>
        <w:numPr>
          <w:ilvl w:val="0"/>
          <w:numId w:val="1"/>
        </w:numPr>
        <w:spacing w:before="120" w:lineRule="auto"/>
        <w:rPr/>
      </w:pPr>
      <w:r w:rsidDel="00000000" w:rsidR="00000000" w:rsidRPr="00000000">
        <w:rPr>
          <w:rtl w:val="0"/>
        </w:rPr>
        <w:t xml:space="preserve">ACKNOWLEDGMENTS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Our thanks to the teachers of D7016B Course for their intellectual support.</w:t>
      </w:r>
    </w:p>
    <w:p w:rsidR="00000000" w:rsidDel="00000000" w:rsidP="00000000" w:rsidRDefault="00000000" w:rsidRPr="00000000" w14:paraId="00000042">
      <w:pPr>
        <w:pStyle w:val="Heading1"/>
        <w:numPr>
          <w:ilvl w:val="0"/>
          <w:numId w:val="1"/>
        </w:numPr>
        <w:spacing w:before="120" w:lineRule="auto"/>
        <w:rPr/>
      </w:pPr>
      <w:r w:rsidDel="00000000" w:rsidR="00000000" w:rsidRPr="00000000">
        <w:rPr>
          <w:rtl w:val="0"/>
        </w:rPr>
        <w:t xml:space="preserve">REFERENCES</w:t>
      </w:r>
    </w:p>
    <w:bookmarkStart w:colFirst="0" w:colLast="0" w:name="bookmark=id.yx2p1kj8cqjj" w:id="0"/>
    <w:bookmarkEnd w:id="0"/>
    <w:bookmarkStart w:colFirst="0" w:colLast="0" w:name="bookmark=id.bl04lvuct1ja" w:id="1"/>
    <w:bookmarkEnd w:id="1"/>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Blanchard, B. S. (2004).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Logistics Engineering and Management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Fourth edition, Prentice-Hall, Englewood Cliffs, New Jerssey.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Candell, O. and Karim, R. (2008). “e-Maintenance - information driven maintenance and support”, In Proceedings of FAIM.</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Ding, W. and Marchionini, G. (1997).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 Study on Video Browsing Strategies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Technical Report. University of Maryland at College Park,.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IEC (1990).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60050 (191): Dependability and quality of service. International Electrotechnical Commission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Geneva, Switzerland.</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IEEE 610.12 (1990)</w:t>
      </w:r>
      <w:bookmarkStart w:colFirst="0" w:colLast="0" w:name="bookmark=id.vsokvou8slsa" w:id="2"/>
      <w:bookmarkEnd w:id="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IEEE Standard Glossary of Software Engineering Terminology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Software Engineering, IEEE.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IEV (2008).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International Electrotechnical Vocabulary (IEV).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Available at: http://www.electropedia.org/, accessed: 18 August 2008.</w:t>
      </w:r>
    </w:p>
    <w:bookmarkStart w:colFirst="0" w:colLast="0" w:name="bookmark=id.jpi6yc1zu451" w:id="3"/>
    <w:bookmarkEnd w:id="3"/>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Kajko-Mattsson, M., Grace, L.A. and Smith, D.B. (2007). “Roles for Development, Evolution and Maintenance of SOA-Based Systems”.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Proceedings of SDSOA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IEEE.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Karim, R., Candell, O. and Söderholm, P. (2009). ”Development of ICT-based Maintenance Support Services”.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Journal of Quality in Maintenance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15(2), pp. 127-150.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5840" w:w="12240" w:orient="portrait"/>
          <w:pgMar w:bottom="1440" w:top="1440" w:left="1080" w:right="1080" w:header="720" w:footer="720"/>
          <w:cols w:equalWidth="0" w:num="2">
            <w:col w:space="475" w:w="4802.5"/>
            <w:col w:space="0" w:w="4802.5"/>
          </w:cols>
        </w:sect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tl w:val="0"/>
        </w:rPr>
      </w:r>
    </w:p>
    <w:sectPr>
      <w:type w:val="continuous"/>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rFonts w:ascii="Times New Roman" w:cs="Times New Roman" w:eastAsia="Times New Roman" w:hAnsi="Times New Roman"/>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rFonts w:ascii="Times New Roman" w:cs="Times New Roman" w:eastAsia="Times New Roman" w:hAnsi="Times New Roman"/>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_GB"/>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40" w:lineRule="auto"/>
      <w:jc w:val="left"/>
    </w:pPr>
    <w:rPr>
      <w:b w:val="1"/>
      <w:bCs w:val="1"/>
      <w:sz w:val="24"/>
      <w:szCs w:val="24"/>
    </w:rPr>
  </w:style>
  <w:style w:type="paragraph" w:styleId="Heading2">
    <w:name w:val="heading 2"/>
    <w:basedOn w:val="Normal"/>
    <w:next w:val="Normal"/>
    <w:pPr>
      <w:keepNext w:val="1"/>
      <w:spacing w:after="0" w:before="40" w:lineRule="auto"/>
      <w:jc w:val="left"/>
    </w:pPr>
    <w:rPr>
      <w:b w:val="1"/>
      <w:bCs w:val="1"/>
      <w:sz w:val="24"/>
      <w:szCs w:val="24"/>
    </w:rPr>
  </w:style>
  <w:style w:type="paragraph" w:styleId="Heading3">
    <w:name w:val="heading 3"/>
    <w:basedOn w:val="Normal"/>
    <w:next w:val="Normal"/>
    <w:pPr>
      <w:keepNext w:val="1"/>
      <w:spacing w:after="0" w:before="40" w:lineRule="auto"/>
      <w:jc w:val="left"/>
    </w:pPr>
    <w:rPr>
      <w:b w:val="0"/>
      <w:bCs w:val="0"/>
      <w:i w:val="1"/>
      <w:iCs w:val="1"/>
      <w:sz w:val="22"/>
      <w:szCs w:val="22"/>
    </w:rPr>
  </w:style>
  <w:style w:type="paragraph" w:styleId="Heading4">
    <w:name w:val="heading 4"/>
    <w:basedOn w:val="Normal"/>
    <w:next w:val="Normal"/>
    <w:pPr>
      <w:keepNext w:val="1"/>
      <w:spacing w:after="0" w:before="40" w:lineRule="auto"/>
      <w:jc w:val="left"/>
    </w:pPr>
    <w:rPr>
      <w:b w:val="0"/>
      <w:bCs w:val="0"/>
      <w:i w:val="1"/>
      <w:iCs w:val="1"/>
      <w:sz w:val="22"/>
      <w:szCs w:val="22"/>
    </w:rPr>
  </w:style>
  <w:style w:type="paragraph" w:styleId="Heading5">
    <w:name w:val="heading 5"/>
    <w:basedOn w:val="Normal"/>
    <w:next w:val="Normal"/>
    <w:pPr>
      <w:spacing w:after="0" w:before="40" w:lineRule="auto"/>
      <w:ind w:left="0" w:firstLine="0"/>
      <w:jc w:val="left"/>
    </w:pPr>
    <w:rPr>
      <w:i w:val="1"/>
      <w:iCs w:val="1"/>
      <w:sz w:val="22"/>
      <w:szCs w:val="22"/>
    </w:rPr>
  </w:style>
  <w:style w:type="paragraph" w:styleId="Heading6">
    <w:name w:val="heading 6"/>
    <w:basedOn w:val="Normal"/>
    <w:next w:val="Normal"/>
    <w:pPr>
      <w:spacing w:after="60" w:before="240" w:lineRule="auto"/>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pPr>
      <w:numPr>
        <w:ilvl w:val="6"/>
        <w:numId w:val="1"/>
      </w:numPr>
      <w:spacing w:after="60" w:before="240"/>
      <w:outlineLvl w:val="6"/>
    </w:pPr>
    <w:rPr>
      <w:rFonts w:ascii="Arial" w:hAnsi="Arial"/>
    </w:rPr>
  </w:style>
  <w:style w:type="paragraph" w:styleId="Heading8">
    <w:name w:val="heading 8"/>
    <w:basedOn w:val="Normal"/>
    <w:next w:val="Normal"/>
    <w:qFormat w:val="1"/>
    <w:pPr>
      <w:numPr>
        <w:ilvl w:val="7"/>
        <w:numId w:val="1"/>
      </w:numPr>
      <w:spacing w:after="60" w:before="240"/>
      <w:outlineLvl w:val="7"/>
    </w:pPr>
    <w:rPr>
      <w:rFonts w:ascii="Arial" w:hAnsi="Arial"/>
      <w:i w:val="1"/>
    </w:rPr>
  </w:style>
  <w:style w:type="paragraph" w:styleId="Heading9">
    <w:name w:val="heading 9"/>
    <w:basedOn w:val="Normal"/>
    <w:next w:val="Normal"/>
    <w:qFormat w:val="1"/>
    <w:pPr>
      <w:numPr>
        <w:ilvl w:val="8"/>
        <w:numId w:val="1"/>
      </w:numPr>
      <w:spacing w:after="60" w:before="240"/>
      <w:outlineLvl w:val="8"/>
    </w:pPr>
    <w:rPr>
      <w:rFonts w:ascii="Arial" w:hAnsi="Arial"/>
      <w:i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Reference">
    <w:name w:val="footnote reference"/>
    <w:semiHidden w:val="1"/>
    <w:rPr>
      <w:rFonts w:ascii="Times New Roman" w:hAnsi="Times New Roman"/>
      <w:sz w:val="18"/>
      <w:vertAlign w:val="superscript"/>
    </w:rPr>
  </w:style>
  <w:style w:type="paragraph" w:styleId="Author" w:customStyle="1">
    <w:name w:val="Author"/>
    <w:basedOn w:val="Normal"/>
    <w:pPr>
      <w:jc w:val="center"/>
    </w:pPr>
    <w:rPr>
      <w:rFonts w:ascii="Helvetica" w:hAnsi="Helvetica"/>
      <w:sz w:val="24"/>
    </w:rPr>
  </w:style>
  <w:style w:type="paragraph" w:styleId="Paper-Title" w:customStyle="1">
    <w:name w:val="Paper-Title"/>
    <w:basedOn w:val="Normal"/>
    <w:pPr>
      <w:spacing w:after="120"/>
      <w:jc w:val="center"/>
    </w:pPr>
    <w:rPr>
      <w:rFonts w:ascii="Helvetica" w:hAnsi="Helvetica"/>
      <w:b w:val="1"/>
      <w:sz w:val="36"/>
    </w:rPr>
  </w:style>
  <w:style w:type="paragraph" w:styleId="Affiliations" w:customStyle="1">
    <w:name w:val="Affiliations"/>
    <w:basedOn w:val="Normal"/>
    <w:pPr>
      <w:jc w:val="center"/>
    </w:pPr>
    <w:rPr>
      <w:rFonts w:ascii="Helvetica" w:hAnsi="Helvetica"/>
      <w:sz w:val="20"/>
    </w:rPr>
  </w:style>
  <w:style w:type="paragraph" w:styleId="FootnoteText">
    <w:name w:val="footnote text"/>
    <w:basedOn w:val="Normal"/>
    <w:semiHidden w:val="1"/>
    <w:pPr>
      <w:ind w:left="144" w:hanging="144"/>
    </w:pPr>
  </w:style>
  <w:style w:type="paragraph" w:styleId="Bullet" w:customStyle="1">
    <w:name w:val="Bullet"/>
    <w:basedOn w:val="Normal"/>
    <w:pPr>
      <w:ind w:left="144" w:hanging="144"/>
    </w:pPr>
  </w:style>
  <w:style w:type="paragraph" w:styleId="Footer">
    <w:name w:val="footer"/>
    <w:basedOn w:val="Normal"/>
    <w:pPr>
      <w:tabs>
        <w:tab w:val="center" w:pos="4320"/>
        <w:tab w:val="right" w:pos="8640"/>
      </w:tabs>
    </w:pPr>
  </w:style>
  <w:style w:type="paragraph" w:styleId="E-Mail" w:customStyle="1">
    <w:name w:val="E-Mail"/>
    <w:basedOn w:val="Author"/>
    <w:pPr>
      <w:spacing w:after="60"/>
    </w:pPr>
  </w:style>
  <w:style w:type="paragraph" w:styleId="Abstract" w:customStyle="1">
    <w:name w:val="Abstract"/>
    <w:basedOn w:val="Heading1"/>
    <w:pPr>
      <w:numPr>
        <w:numId w:val="0"/>
      </w:numPr>
      <w:spacing w:after="120" w:before="0"/>
      <w:jc w:val="both"/>
      <w:outlineLvl w:val="9"/>
    </w:pPr>
    <w:rPr>
      <w:b w:val="0"/>
      <w:sz w:val="18"/>
    </w:rPr>
  </w:style>
  <w:style w:type="paragraph" w:styleId="ListNumber3">
    <w:name w:val="List Number 3"/>
    <w:basedOn w:val="Normal"/>
    <w:pPr>
      <w:ind w:left="1080" w:hanging="360"/>
    </w:pPr>
  </w:style>
  <w:style w:type="paragraph" w:styleId="Captions" w:customStyle="1">
    <w:name w:val="Captions"/>
    <w:basedOn w:val="Normal"/>
    <w:pPr>
      <w:framePr w:lines="0" w:w="4680" w:h="2160" w:hSpace="187" w:wrap="around" w:hAnchor="text" w:yAlign="bottom" w:hRule="exact"/>
      <w:jc w:val="center"/>
    </w:pPr>
    <w:rPr>
      <w:b w:val="1"/>
    </w:rPr>
  </w:style>
  <w:style w:type="paragraph" w:styleId="References" w:customStyle="1">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val="1"/>
    <w:pPr>
      <w:shd w:color="auto" w:fill="000080" w:val="clear"/>
    </w:pPr>
    <w:rPr>
      <w:rFonts w:ascii="Tahoma" w:cs="Tahoma" w:hAnsi="Tahoma"/>
    </w:rPr>
  </w:style>
  <w:style w:type="paragraph" w:styleId="Caption">
    <w:name w:val="caption"/>
    <w:basedOn w:val="Normal"/>
    <w:next w:val="Normal"/>
    <w:uiPriority w:val="35"/>
    <w:qFormat w:val="1"/>
    <w:pPr>
      <w:jc w:val="center"/>
    </w:pPr>
    <w:rPr>
      <w:rFonts w:cs="Miriam"/>
      <w:b w:val="1"/>
      <w:bCs w:val="1"/>
      <w:szCs w:val="18"/>
      <w:lang w:eastAsia="en-AU"/>
    </w:rPr>
  </w:style>
  <w:style w:type="paragraph" w:styleId="BodyText">
    <w:name w:val="Body Text"/>
    <w:basedOn w:val="Normal"/>
    <w:pPr>
      <w:framePr w:lines="0" w:w="4680" w:h="2112" w:hSpace="187" w:wrap="around" w:hAnchor="page" w:vAnchor="page" w:x="1155" w:y="12245" w:hRule="exact"/>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C13CC7"/>
    <w:rPr>
      <w:color w:val="800080"/>
      <w:u w:val="single"/>
    </w:rPr>
  </w:style>
  <w:style w:type="character" w:styleId="Heading2Char" w:customStyle="1">
    <w:name w:val="Heading 2 Char"/>
    <w:basedOn w:val="DefaultParagraphFont"/>
    <w:link w:val="Heading2"/>
    <w:rsid w:val="00025A8E"/>
    <w:rPr>
      <w:b w:val="1"/>
      <w:kern w:val="28"/>
      <w:sz w:val="24"/>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sciencedirect.com/science/article/abs/pii/S0968090X15002326?via%3Dihub" TargetMode="External"/><Relationship Id="rId10" Type="http://schemas.openxmlformats.org/officeDocument/2006/relationships/hyperlink" Target="https://shk.se/engelska/the-swedish-accident-investigation-authority/search-investigation/rail/2024-02-19-derailment-of-freight-train-no-9914-at-malmbanan-norrbotten-county" TargetMode="External"/><Relationship Id="rId21" Type="http://schemas.openxmlformats.org/officeDocument/2006/relationships/image" Target="media/image1.png"/><Relationship Id="rId13" Type="http://schemas.openxmlformats.org/officeDocument/2006/relationships/hyperlink" Target="https://journals.sagepub.com/doi/10.1177/16878132251410377" TargetMode="External"/><Relationship Id="rId12" Type="http://schemas.openxmlformats.org/officeDocument/2006/relationships/hyperlink" Target="https://research.chalmers.se/publication/533804/file/533804_Fulltex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kab.com/press/orsaken-till-stora-ursparningen-pa-malmbanan-faststalld/" TargetMode="External"/><Relationship Id="rId15" Type="http://schemas.openxmlformats.org/officeDocument/2006/relationships/hyperlink" Target="https://www.networkrail.co.uk/rail-travel/delays-explained/speed-restrictions/" TargetMode="External"/><Relationship Id="rId14" Type="http://schemas.openxmlformats.org/officeDocument/2006/relationships/hyperlink" Target="https://link.springer.com/article/10.1007/s40534-026-00431-w" TargetMode="External"/><Relationship Id="rId17" Type="http://schemas.openxmlformats.org/officeDocument/2006/relationships/hyperlink" Target="https://www.diva-portal.org/smash/record.jsf?pid=diva2:1001726" TargetMode="External"/><Relationship Id="rId16" Type="http://schemas.openxmlformats.org/officeDocument/2006/relationships/hyperlink" Target="https://www.sciencedirect.com/science/article/pii/S1367578809000546?" TargetMode="External"/><Relationship Id="rId5" Type="http://schemas.openxmlformats.org/officeDocument/2006/relationships/styles" Target="styles.xml"/><Relationship Id="rId19" Type="http://schemas.openxmlformats.org/officeDocument/2006/relationships/hyperlink" Target="https://www.sciencedirect.com/science/article/pii/S1367578809000546?" TargetMode="External"/><Relationship Id="rId6" Type="http://schemas.openxmlformats.org/officeDocument/2006/relationships/customXml" Target="../customXML/item1.xml"/><Relationship Id="rId18" Type="http://schemas.openxmlformats.org/officeDocument/2006/relationships/hyperlink" Target="https://www.diva-portal.org/smash/record.jsf?pid=diva2:1008306" TargetMode="External"/><Relationship Id="rId7" Type="http://schemas.openxmlformats.org/officeDocument/2006/relationships/footer" Target="footer1.xml"/><Relationship Id="rId8" Type="http://schemas.openxmlformats.org/officeDocument/2006/relationships/hyperlink" Target="https://www.europarl.europa.eu/RegData/etudes/STUD/2026/788125/EPRS_STU(2026)788125_E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UgrTnl8fA7tOCSjTHWnungJQ==">CgMxLjAyD2lkLnl4MnAxa2o4Y3FqajIPaWQuYmwwNGx2dWN0MWphMg9pZC52c29rdm91OHNsc2EyD2lkLmpwaTZ5YzF6dTQ1MTgAciExUmtwdGhPLWdzY0IxemVmOWdYUlRDQTRwZzVlbU1GTmQ=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2025-09-04T09:42:00Z</dcterms:created>
  <dc:creator>eMaintenance2010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0x010100933580D1C8EA284F9CC81273C3D81153</vt:lpwstr>
  </property>
  <property fmtid="{D5CDD505-2E9C-101B-9397-08002B2CF9AE}" pid="3" name="MediaServiceImageTags">
    <vt:lpwstr/>
  </property>
  <property fmtid="{D5CDD505-2E9C-101B-9397-08002B2CF9AE}" pid="4" name="GrammarlyDocumentId">
    <vt:lpwstr>1be8b635-293b-48ae-a955-8e634a071dc8</vt:lpwstr>
  </property>
</Properties>
</file>