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3314E" w14:textId="77777777" w:rsidR="00950381" w:rsidRDefault="00000000">
      <w:pPr>
        <w:jc w:val="center"/>
        <w:sectPr w:rsidR="00950381">
          <w:footerReference w:type="even" r:id="rId8"/>
          <w:pgSz w:w="12240" w:h="15840"/>
          <w:pgMar w:top="1440" w:right="1080" w:bottom="1440" w:left="1080" w:header="720" w:footer="720" w:gutter="0"/>
          <w:pgNumType w:start="1"/>
          <w:cols w:space="720"/>
        </w:sectPr>
      </w:pPr>
      <w:r>
        <w:rPr>
          <w:rFonts w:ascii="Helvetica Neue" w:eastAsia="Helvetica Neue" w:hAnsi="Helvetica Neue" w:cs="Helvetica Neue"/>
          <w:b/>
          <w:bCs/>
          <w:sz w:val="36"/>
          <w:szCs w:val="36"/>
        </w:rPr>
        <w:t>Word Template for D7016B Final Project Report</w:t>
      </w:r>
    </w:p>
    <w:p w14:paraId="1FE74B43" w14:textId="77777777" w:rsidR="00950381" w:rsidRDefault="00000000">
      <w:pPr>
        <w:pBdr>
          <w:top w:val="nil"/>
          <w:left w:val="nil"/>
          <w:bottom w:val="nil"/>
          <w:right w:val="nil"/>
          <w:between w:val="nil"/>
        </w:pBdr>
        <w:spacing w:after="0"/>
        <w:jc w:val="center"/>
        <w:rPr>
          <w:rFonts w:ascii="Helvetica Neue" w:eastAsia="Helvetica Neue" w:hAnsi="Helvetica Neue" w:cs="Helvetica Neue"/>
          <w:color w:val="000000"/>
          <w:sz w:val="24"/>
          <w:szCs w:val="24"/>
        </w:rPr>
      </w:pPr>
      <w:r>
        <w:br w:type="column"/>
      </w:r>
      <w:r>
        <w:rPr>
          <w:rFonts w:ascii="Helvetica Neue" w:eastAsia="Helvetica Neue" w:hAnsi="Helvetica Neue" w:cs="Helvetica Neue"/>
          <w:color w:val="000000"/>
          <w:sz w:val="24"/>
          <w:szCs w:val="24"/>
        </w:rPr>
        <w:t xml:space="preserve"> Author’s Name</w:t>
      </w:r>
    </w:p>
    <w:p w14:paraId="073F1F96" w14:textId="77777777" w:rsidR="00950381" w:rsidRDefault="00000000">
      <w:pPr>
        <w:pBdr>
          <w:top w:val="nil"/>
          <w:left w:val="nil"/>
          <w:bottom w:val="nil"/>
          <w:right w:val="nil"/>
          <w:between w:val="nil"/>
        </w:pBdr>
        <w:jc w:val="center"/>
        <w:rPr>
          <w:rFonts w:ascii="Helvetica Neue" w:eastAsia="Helvetica Neue" w:hAnsi="Helvetica Neue" w:cs="Helvetica Neue"/>
          <w:color w:val="000000"/>
          <w:sz w:val="20"/>
          <w:szCs w:val="20"/>
        </w:rPr>
      </w:pPr>
      <w:r>
        <w:rPr>
          <w:rFonts w:ascii="Helvetica Neue" w:eastAsia="Helvetica Neue" w:hAnsi="Helvetica Neue" w:cs="Helvetica Neue"/>
          <w:color w:val="000000"/>
          <w:sz w:val="20"/>
          <w:szCs w:val="20"/>
        </w:rPr>
        <w:t>Author's affiliation</w:t>
      </w:r>
    </w:p>
    <w:p w14:paraId="1BAB7398" w14:textId="77777777" w:rsidR="00950381" w:rsidRDefault="00000000">
      <w:pPr>
        <w:pBdr>
          <w:top w:val="nil"/>
          <w:left w:val="nil"/>
          <w:bottom w:val="nil"/>
          <w:right w:val="nil"/>
          <w:between w:val="nil"/>
        </w:pBdr>
        <w:spacing w:after="60"/>
        <w:jc w:val="center"/>
        <w:rPr>
          <w:rFonts w:ascii="Helvetica Neue" w:eastAsia="Helvetica Neue" w:hAnsi="Helvetica Neue" w:cs="Helvetica Neue"/>
          <w:color w:val="000000"/>
          <w:sz w:val="24"/>
          <w:szCs w:val="24"/>
        </w:rPr>
      </w:pPr>
      <w:r>
        <w:rPr>
          <w:rFonts w:ascii="Helvetica Neue" w:eastAsia="Helvetica Neue" w:hAnsi="Helvetica Neue" w:cs="Helvetica Neue"/>
          <w:color w:val="000000"/>
          <w:sz w:val="24"/>
          <w:szCs w:val="24"/>
        </w:rPr>
        <w:t>E-mail</w:t>
      </w:r>
    </w:p>
    <w:p w14:paraId="1B7E473E" w14:textId="77777777" w:rsidR="00950381" w:rsidRDefault="00000000">
      <w:pPr>
        <w:pBdr>
          <w:top w:val="nil"/>
          <w:left w:val="nil"/>
          <w:bottom w:val="nil"/>
          <w:right w:val="nil"/>
          <w:between w:val="nil"/>
        </w:pBdr>
        <w:spacing w:after="0"/>
        <w:jc w:val="center"/>
        <w:rPr>
          <w:rFonts w:ascii="Helvetica Neue" w:eastAsia="Helvetica Neue" w:hAnsi="Helvetica Neue" w:cs="Helvetica Neue"/>
          <w:color w:val="000000"/>
          <w:sz w:val="24"/>
          <w:szCs w:val="24"/>
        </w:rPr>
      </w:pPr>
      <w:r>
        <w:br w:type="column"/>
      </w:r>
    </w:p>
    <w:p w14:paraId="567FD1C4" w14:textId="77777777" w:rsidR="00950381" w:rsidRDefault="00950381">
      <w:pPr>
        <w:pBdr>
          <w:top w:val="nil"/>
          <w:left w:val="nil"/>
          <w:bottom w:val="nil"/>
          <w:right w:val="nil"/>
          <w:between w:val="nil"/>
        </w:pBdr>
        <w:spacing w:after="60"/>
        <w:jc w:val="center"/>
        <w:rPr>
          <w:rFonts w:ascii="Helvetica Neue" w:eastAsia="Helvetica Neue" w:hAnsi="Helvetica Neue" w:cs="Helvetica Neue"/>
          <w:color w:val="000000"/>
          <w:sz w:val="24"/>
          <w:szCs w:val="24"/>
        </w:rPr>
        <w:sectPr w:rsidR="00950381">
          <w:type w:val="continuous"/>
          <w:pgSz w:w="12240" w:h="15840"/>
          <w:pgMar w:top="1440" w:right="1080" w:bottom="1440" w:left="1080" w:header="720" w:footer="720" w:gutter="0"/>
          <w:cols w:num="3" w:space="720" w:equalWidth="0">
            <w:col w:w="3360" w:space="0"/>
            <w:col w:w="3360" w:space="0"/>
            <w:col w:w="3360" w:space="0"/>
          </w:cols>
        </w:sectPr>
      </w:pPr>
    </w:p>
    <w:p w14:paraId="009F278B" w14:textId="77777777" w:rsidR="00950381" w:rsidRDefault="00000000">
      <w:pPr>
        <w:spacing w:after="0"/>
      </w:pPr>
      <w:r>
        <w:rPr>
          <w:b/>
          <w:bCs/>
          <w:sz w:val="24"/>
          <w:szCs w:val="24"/>
        </w:rPr>
        <w:t>ABSTRACT</w:t>
      </w:r>
    </w:p>
    <w:p w14:paraId="74BCC314" w14:textId="77777777" w:rsidR="00950381" w:rsidRDefault="00000000">
      <w:pPr>
        <w:keepNext/>
        <w:pBdr>
          <w:top w:val="nil"/>
          <w:left w:val="nil"/>
          <w:bottom w:val="nil"/>
          <w:right w:val="nil"/>
          <w:between w:val="nil"/>
        </w:pBdr>
        <w:spacing w:after="120"/>
        <w:rPr>
          <w:color w:val="000000"/>
        </w:rPr>
      </w:pPr>
      <w:r>
        <w:rPr>
          <w:color w:val="000000"/>
        </w:rPr>
        <w:t>In this report, we describe the formatting guidelines for D7016B Course’s report.  The abstract is to be in 9-point, single-spaced type, and up to 250 words in length. Leave two blank lines after the abstract, then begin the main text.</w:t>
      </w:r>
    </w:p>
    <w:p w14:paraId="0894D054" w14:textId="77777777" w:rsidR="00950381" w:rsidRDefault="00000000">
      <w:pPr>
        <w:spacing w:before="120" w:after="0"/>
      </w:pPr>
      <w:r>
        <w:rPr>
          <w:b/>
          <w:bCs/>
          <w:sz w:val="24"/>
          <w:szCs w:val="24"/>
        </w:rPr>
        <w:t>Keywords</w:t>
      </w:r>
    </w:p>
    <w:p w14:paraId="5008E17C" w14:textId="77777777" w:rsidR="00950381" w:rsidRDefault="00000000">
      <w:pPr>
        <w:spacing w:after="120"/>
      </w:pPr>
      <w:r>
        <w:t xml:space="preserve">Point cloud processing; railway track geometry; fault classification; clustering; principal Component Analysis; track quality index; </w:t>
      </w:r>
      <w:proofErr w:type="spellStart"/>
      <w:r>
        <w:t>eMaintenance</w:t>
      </w:r>
      <w:proofErr w:type="spellEnd"/>
      <w:r>
        <w:t>; Industrial AI</w:t>
      </w:r>
    </w:p>
    <w:p w14:paraId="7FBF2A02" w14:textId="77777777" w:rsidR="00950381" w:rsidRDefault="00000000">
      <w:pPr>
        <w:pStyle w:val="Heading1"/>
        <w:numPr>
          <w:ilvl w:val="0"/>
          <w:numId w:val="1"/>
        </w:numPr>
        <w:spacing w:before="120"/>
      </w:pPr>
      <w:r>
        <w:t>INTRODUCTION</w:t>
      </w:r>
    </w:p>
    <w:p w14:paraId="63BB985E" w14:textId="77777777" w:rsidR="00950381" w:rsidRDefault="00000000">
      <w:pPr>
        <w:pBdr>
          <w:top w:val="nil"/>
          <w:left w:val="nil"/>
          <w:bottom w:val="nil"/>
          <w:right w:val="nil"/>
          <w:between w:val="nil"/>
        </w:pBdr>
        <w:spacing w:after="120"/>
      </w:pPr>
      <w:r>
        <w:t>The railway is likely to become a core pillar of future transport by 2050. This however relies on major improvements in infrastructure, digitalization, and therefore maintenance.  (</w:t>
      </w:r>
      <w:hyperlink r:id="rId9">
        <w:r>
          <w:rPr>
            <w:color w:val="1155CC"/>
            <w:u w:val="single"/>
          </w:rPr>
          <w:t>KÄLLA</w:t>
        </w:r>
      </w:hyperlink>
      <w:r>
        <w:t xml:space="preserve"> 1). Railway track degrades continuously under traffic, and the consequences of derailment can be very costly and dangerous. For instance, on 17 December 2023, in the north of Sweden a derailment stopped LKAB’s iron ore transport for 65 days, causing an estimated loss of 100 million SEK in revenue per day - 6,5 billion SEK in total. </w:t>
      </w:r>
      <w:hyperlink r:id="rId10">
        <w:r>
          <w:rPr>
            <w:color w:val="1155CC"/>
            <w:u w:val="single"/>
          </w:rPr>
          <w:t>(LKAB, 2025)</w:t>
        </w:r>
      </w:hyperlink>
      <w:r>
        <w:t xml:space="preserve">. </w:t>
      </w:r>
    </w:p>
    <w:p w14:paraId="2ED141EA" w14:textId="77777777" w:rsidR="00950381" w:rsidRDefault="00000000">
      <w:pPr>
        <w:pBdr>
          <w:top w:val="nil"/>
          <w:left w:val="nil"/>
          <w:bottom w:val="nil"/>
          <w:right w:val="nil"/>
          <w:between w:val="nil"/>
        </w:pBdr>
        <w:spacing w:after="120"/>
      </w:pPr>
      <w:r>
        <w:t xml:space="preserve">The investigation found that the derailment began with a fatigue crack in the flange of one wheel, damaging about 15 </w:t>
      </w:r>
      <w:proofErr w:type="spellStart"/>
      <w:r>
        <w:t>kilometers</w:t>
      </w:r>
      <w:proofErr w:type="spellEnd"/>
      <w:r>
        <w:t xml:space="preserve"> of track before several wagons derailed. The wheel had met applicable standards with no problems reported in its maintenance history (</w:t>
      </w:r>
      <w:hyperlink r:id="rId11">
        <w:r>
          <w:rPr>
            <w:color w:val="1155CC"/>
            <w:u w:val="single"/>
          </w:rPr>
          <w:t>KÄLLA 4</w:t>
        </w:r>
      </w:hyperlink>
      <w:r>
        <w:t>). A European cost-benefit study also found that wheel failures had the highest projected cumulative cost among the eight derailment causes that were examined (</w:t>
      </w:r>
      <w:hyperlink r:id="rId12">
        <w:r>
          <w:rPr>
            <w:color w:val="1155CC"/>
            <w:u w:val="single"/>
          </w:rPr>
          <w:t>KÄLLA 3</w:t>
        </w:r>
      </w:hyperlink>
      <w:r>
        <w:t xml:space="preserve">). Studies show that poor track conditions can increase wheel and rail wear, reduce stability, and raise the risk of </w:t>
      </w:r>
      <w:proofErr w:type="gramStart"/>
      <w:r>
        <w:t>derailment  (</w:t>
      </w:r>
      <w:proofErr w:type="gramEnd"/>
      <w:r>
        <w:fldChar w:fldCharType="begin"/>
      </w:r>
      <w:r>
        <w:instrText>HYPERLINK "https://research.chalmers.se/publication/533804/file/533804_Fulltext.pdf" \h</w:instrText>
      </w:r>
      <w:r>
        <w:fldChar w:fldCharType="separate"/>
      </w:r>
      <w:r>
        <w:rPr>
          <w:color w:val="1155CC"/>
          <w:u w:val="single"/>
        </w:rPr>
        <w:t>Maglio, 2023</w:t>
      </w:r>
      <w:r>
        <w:fldChar w:fldCharType="end"/>
      </w:r>
      <w:r>
        <w:t xml:space="preserve">; </w:t>
      </w:r>
      <w:hyperlink r:id="rId13">
        <w:r>
          <w:rPr>
            <w:color w:val="1155CC"/>
            <w:u w:val="single"/>
          </w:rPr>
          <w:t>Hu et al., 2025</w:t>
        </w:r>
      </w:hyperlink>
      <w:r>
        <w:t xml:space="preserve">; </w:t>
      </w:r>
      <w:hyperlink r:id="rId14">
        <w:r>
          <w:rPr>
            <w:color w:val="1155CC"/>
            <w:u w:val="single"/>
          </w:rPr>
          <w:t>Yadav et al., 2026</w:t>
        </w:r>
      </w:hyperlink>
      <w:r>
        <w:t xml:space="preserve">). </w:t>
      </w:r>
    </w:p>
    <w:p w14:paraId="2CDA79D6" w14:textId="77777777" w:rsidR="00950381" w:rsidRDefault="00000000">
      <w:pPr>
        <w:pBdr>
          <w:top w:val="nil"/>
          <w:left w:val="nil"/>
          <w:bottom w:val="nil"/>
          <w:right w:val="nil"/>
          <w:between w:val="nil"/>
        </w:pBdr>
        <w:spacing w:after="120"/>
      </w:pPr>
      <w:r>
        <w:t>Today, beyond safety concerns, worn or defective tracks require temporary speed restrictions, and track downtime until repairs are completed. This leads to delays, reduced availability, higher maintenance and operating costs (</w:t>
      </w:r>
      <w:hyperlink r:id="rId15">
        <w:r>
          <w:rPr>
            <w:color w:val="1155CC"/>
            <w:u w:val="single"/>
          </w:rPr>
          <w:t>Network Rail, 2026</w:t>
        </w:r>
      </w:hyperlink>
      <w:r>
        <w:t xml:space="preserve">).  </w:t>
      </w:r>
    </w:p>
    <w:p w14:paraId="5480D9B0" w14:textId="77777777" w:rsidR="00950381" w:rsidRDefault="00000000">
      <w:pPr>
        <w:pBdr>
          <w:top w:val="nil"/>
          <w:left w:val="nil"/>
          <w:bottom w:val="nil"/>
          <w:right w:val="nil"/>
          <w:between w:val="nil"/>
        </w:pBdr>
        <w:spacing w:after="120"/>
      </w:pPr>
      <w:r>
        <w:t xml:space="preserve">Downtime reflects weakness in the railway infrastructure and makes the railway less reliable as a core pillar for future transport. With digitalization growing exponentially, </w:t>
      </w:r>
      <w:proofErr w:type="spellStart"/>
      <w:r>
        <w:t>eMaintenance</w:t>
      </w:r>
      <w:proofErr w:type="spellEnd"/>
      <w:r>
        <w:t xml:space="preserve"> can be utilized toward a more proactive approach. </w:t>
      </w:r>
      <w:proofErr w:type="spellStart"/>
      <w:r>
        <w:t>eMaintenance</w:t>
      </w:r>
      <w:proofErr w:type="spellEnd"/>
      <w:r>
        <w:t xml:space="preserve"> can be described as the modern way of maintenance management utilizing technology and digital solutions such as sensors, IoT, and software to monitor data from for example equipment or machines. The purpose of </w:t>
      </w:r>
      <w:proofErr w:type="spellStart"/>
      <w:r>
        <w:t>eMaintenance</w:t>
      </w:r>
      <w:proofErr w:type="spellEnd"/>
      <w:r>
        <w:t xml:space="preserve"> is to “predict and prevent”, not “fail and fix” (</w:t>
      </w:r>
      <w:proofErr w:type="spellStart"/>
      <w:r>
        <w:fldChar w:fldCharType="begin"/>
      </w:r>
      <w:r>
        <w:instrText>HYPERLINK "https://www.sciencedirect.com/science/article/pii/S1367578809000546?" \h</w:instrText>
      </w:r>
      <w:r>
        <w:fldChar w:fldCharType="separate"/>
      </w:r>
      <w:r>
        <w:rPr>
          <w:color w:val="1155CC"/>
          <w:u w:val="single"/>
        </w:rPr>
        <w:t>Iung</w:t>
      </w:r>
      <w:proofErr w:type="spellEnd"/>
      <w:r>
        <w:rPr>
          <w:color w:val="1155CC"/>
          <w:u w:val="single"/>
        </w:rPr>
        <w:t xml:space="preserve"> et al., 2009</w:t>
      </w:r>
      <w:r>
        <w:fldChar w:fldCharType="end"/>
      </w:r>
      <w:r>
        <w:t>). By doing this, it enables maintenance planning to be more proactive, reducing downtime, and increasing the life span of equipment. In an industrial context, this creates value for organizations as it allows them to save resources, increase productivity and efficiency (</w:t>
      </w:r>
      <w:hyperlink r:id="rId16">
        <w:r>
          <w:rPr>
            <w:color w:val="1155CC"/>
            <w:u w:val="single"/>
          </w:rPr>
          <w:t>Candell &amp; Karim, 2008</w:t>
        </w:r>
      </w:hyperlink>
      <w:r>
        <w:t xml:space="preserve">; </w:t>
      </w:r>
      <w:hyperlink r:id="rId17">
        <w:proofErr w:type="spellStart"/>
        <w:r>
          <w:rPr>
            <w:color w:val="1155CC"/>
            <w:u w:val="single"/>
          </w:rPr>
          <w:t>Kajko</w:t>
        </w:r>
        <w:proofErr w:type="spellEnd"/>
        <w:r>
          <w:rPr>
            <w:color w:val="1155CC"/>
            <w:u w:val="single"/>
          </w:rPr>
          <w:t>-Mattsson et al., 2010</w:t>
        </w:r>
      </w:hyperlink>
      <w:r>
        <w:t xml:space="preserve">; </w:t>
      </w:r>
      <w:hyperlink r:id="rId18">
        <w:proofErr w:type="spellStart"/>
        <w:r>
          <w:rPr>
            <w:color w:val="1155CC"/>
            <w:u w:val="single"/>
          </w:rPr>
          <w:t>Iung</w:t>
        </w:r>
        <w:proofErr w:type="spellEnd"/>
        <w:r>
          <w:rPr>
            <w:color w:val="1155CC"/>
            <w:u w:val="single"/>
          </w:rPr>
          <w:t xml:space="preserve"> et al., 2009</w:t>
        </w:r>
      </w:hyperlink>
      <w:r>
        <w:t>).</w:t>
      </w:r>
    </w:p>
    <w:p w14:paraId="6E2C11B2" w14:textId="77777777" w:rsidR="00950381" w:rsidRDefault="00950381">
      <w:pPr>
        <w:pBdr>
          <w:top w:val="nil"/>
          <w:left w:val="nil"/>
          <w:bottom w:val="nil"/>
          <w:right w:val="nil"/>
          <w:between w:val="nil"/>
        </w:pBdr>
        <w:spacing w:after="120"/>
      </w:pPr>
    </w:p>
    <w:p w14:paraId="5C2A4C2E" w14:textId="77777777" w:rsidR="001E4708" w:rsidRDefault="001E4708">
      <w:pPr>
        <w:pBdr>
          <w:top w:val="nil"/>
          <w:left w:val="nil"/>
          <w:bottom w:val="nil"/>
          <w:right w:val="nil"/>
          <w:between w:val="nil"/>
        </w:pBdr>
        <w:spacing w:after="120"/>
        <w:rPr>
          <w:b/>
          <w:bCs/>
        </w:rPr>
      </w:pPr>
    </w:p>
    <w:p w14:paraId="138833EF" w14:textId="3C1A6891" w:rsidR="00950381" w:rsidRDefault="00000000">
      <w:pPr>
        <w:pBdr>
          <w:top w:val="nil"/>
          <w:left w:val="nil"/>
          <w:bottom w:val="nil"/>
          <w:right w:val="nil"/>
          <w:between w:val="nil"/>
        </w:pBdr>
        <w:spacing w:after="120"/>
        <w:rPr>
          <w:b/>
          <w:bCs/>
        </w:rPr>
      </w:pPr>
      <w:r>
        <w:rPr>
          <w:b/>
          <w:bCs/>
        </w:rPr>
        <w:t xml:space="preserve">Introduction is to be continued with: </w:t>
      </w:r>
    </w:p>
    <w:p w14:paraId="2003B246" w14:textId="4542B928" w:rsidR="00247A74" w:rsidRDefault="00247A74">
      <w:pPr>
        <w:pBdr>
          <w:top w:val="nil"/>
          <w:left w:val="nil"/>
          <w:bottom w:val="nil"/>
          <w:right w:val="nil"/>
          <w:between w:val="nil"/>
        </w:pBdr>
        <w:spacing w:after="120"/>
        <w:rPr>
          <w:b/>
          <w:bCs/>
        </w:rPr>
      </w:pPr>
      <w:r>
        <w:rPr>
          <w:b/>
          <w:bCs/>
        </w:rPr>
        <w:t xml:space="preserve">The following dashed list is old and what created based on assumption that certain data would be available. The project </w:t>
      </w:r>
      <w:proofErr w:type="gramStart"/>
      <w:r>
        <w:rPr>
          <w:b/>
          <w:bCs/>
        </w:rPr>
        <w:t>have</w:t>
      </w:r>
      <w:proofErr w:type="gramEnd"/>
      <w:r>
        <w:rPr>
          <w:b/>
          <w:bCs/>
        </w:rPr>
        <w:t xml:space="preserve"> changed and these do not apply anymore:</w:t>
      </w:r>
    </w:p>
    <w:p w14:paraId="6B3D1543" w14:textId="77777777" w:rsidR="00950381" w:rsidRDefault="00000000">
      <w:pPr>
        <w:numPr>
          <w:ilvl w:val="0"/>
          <w:numId w:val="4"/>
        </w:numPr>
        <w:spacing w:after="0"/>
      </w:pPr>
      <w:r>
        <w:t>Connect vibration/acceleration data to maintenance decisions</w:t>
      </w:r>
    </w:p>
    <w:p w14:paraId="2165A972" w14:textId="77777777" w:rsidR="00950381" w:rsidRDefault="00000000">
      <w:pPr>
        <w:numPr>
          <w:ilvl w:val="0"/>
          <w:numId w:val="4"/>
        </w:numPr>
        <w:spacing w:after="0"/>
      </w:pPr>
      <w:r>
        <w:t xml:space="preserve">Connect 3d point cloud / geometric data to maintenance decisions </w:t>
      </w:r>
    </w:p>
    <w:p w14:paraId="2BEA785A" w14:textId="77777777" w:rsidR="001E4708" w:rsidRDefault="00000000">
      <w:pPr>
        <w:numPr>
          <w:ilvl w:val="0"/>
          <w:numId w:val="4"/>
        </w:numPr>
        <w:spacing w:after="120"/>
      </w:pPr>
      <w:r>
        <w:t>Explain the idea of the project - to cluster and classify abnormal events based on geometric faults and train a SVM that can predict these without geometric data.</w:t>
      </w:r>
    </w:p>
    <w:p w14:paraId="77AB8C05" w14:textId="77777777" w:rsidR="001E4708" w:rsidRDefault="001E4708" w:rsidP="001E4708">
      <w:pPr>
        <w:spacing w:after="120"/>
      </w:pPr>
    </w:p>
    <w:p w14:paraId="2D25B671" w14:textId="0B9C80AD" w:rsidR="00A67FC9" w:rsidRDefault="001E4708" w:rsidP="001E4708">
      <w:pPr>
        <w:spacing w:after="120"/>
      </w:pPr>
      <w:r>
        <w:t xml:space="preserve">Especially of interest if how the railway changes over time. One way to analyse this is by measuring different track quality changes using TQI (track quality index). Geometric deviations from gauge, …, …. (Refer to Amits references report!). One way to extract these features is using LiDAR 3D point cloud, however this depends on the 3D point cloud providing data about …, which can be challenging when. From 3D point cloud the track can also be represented as a 3D curve instead of using TQI. Several studies use splines to create this 3D curve (). </w:t>
      </w:r>
      <w:proofErr w:type="gramStart"/>
      <w:r>
        <w:t>However</w:t>
      </w:r>
      <w:proofErr w:type="gramEnd"/>
      <w:r>
        <w:t xml:space="preserve"> data availability can be </w:t>
      </w:r>
      <w:proofErr w:type="gramStart"/>
      <w:r>
        <w:t>challenging</w:t>
      </w:r>
      <w:proofErr w:type="gramEnd"/>
      <w:r>
        <w:t xml:space="preserve"> and a much less </w:t>
      </w:r>
      <w:r w:rsidR="00A67FC9">
        <w:t>investigated method is using Catmull-Rom to create the 3D curve.</w:t>
      </w:r>
    </w:p>
    <w:p w14:paraId="71C4EBDD" w14:textId="0045FAF1" w:rsidR="00A67FC9" w:rsidRDefault="00A67FC9" w:rsidP="001E4708">
      <w:pPr>
        <w:spacing w:after="120"/>
      </w:pPr>
      <w:r>
        <w:t xml:space="preserve">Catmull-rom is … and is advantageous when having data that… </w:t>
      </w:r>
      <w:proofErr w:type="gramStart"/>
      <w:r>
        <w:t>Therefore</w:t>
      </w:r>
      <w:proofErr w:type="gramEnd"/>
      <w:r>
        <w:t xml:space="preserve"> this report is to be explorative and apply </w:t>
      </w:r>
      <w:proofErr w:type="spellStart"/>
      <w:r>
        <w:t>catmull</w:t>
      </w:r>
      <w:proofErr w:type="spellEnd"/>
      <w:r>
        <w:t xml:space="preserve">-rom using specific branch data where the other methods are… The idea is that the </w:t>
      </w:r>
      <w:proofErr w:type="gramStart"/>
      <w:r>
        <w:t>results</w:t>
      </w:r>
      <w:proofErr w:type="gramEnd"/>
      <w:r>
        <w:t xml:space="preserve"> of this study intends to further enhance the XXX pool and </w:t>
      </w:r>
      <w:proofErr w:type="gramStart"/>
      <w:r>
        <w:t>open up</w:t>
      </w:r>
      <w:proofErr w:type="gramEnd"/>
      <w:r>
        <w:t xml:space="preserve"> for new projects and enhancements for this area. </w:t>
      </w:r>
    </w:p>
    <w:p w14:paraId="3D3E0C32" w14:textId="77777777" w:rsidR="001E4708" w:rsidRDefault="001E4708" w:rsidP="001E4708">
      <w:pPr>
        <w:spacing w:after="120"/>
      </w:pPr>
    </w:p>
    <w:p w14:paraId="4DEC495B" w14:textId="77777777" w:rsidR="001E4708" w:rsidRDefault="001E4708" w:rsidP="001E4708">
      <w:pPr>
        <w:spacing w:after="120"/>
      </w:pPr>
    </w:p>
    <w:p w14:paraId="010E1447" w14:textId="77777777" w:rsidR="001E4708" w:rsidRDefault="001E4708" w:rsidP="001E4708">
      <w:pPr>
        <w:spacing w:after="120"/>
      </w:pPr>
    </w:p>
    <w:p w14:paraId="425226F1" w14:textId="2A866644" w:rsidR="00950381" w:rsidRDefault="00000000" w:rsidP="001E4708">
      <w:pPr>
        <w:spacing w:after="120"/>
      </w:pPr>
      <w:r>
        <w:t>PAGE SIZE</w:t>
      </w:r>
    </w:p>
    <w:p w14:paraId="64ACD187" w14:textId="77777777" w:rsidR="00950381" w:rsidRDefault="00000000">
      <w:pPr>
        <w:pBdr>
          <w:top w:val="nil"/>
          <w:left w:val="nil"/>
          <w:bottom w:val="nil"/>
          <w:right w:val="nil"/>
          <w:between w:val="nil"/>
        </w:pBdr>
        <w:spacing w:after="120"/>
        <w:rPr>
          <w:color w:val="000000"/>
        </w:rPr>
      </w:pPr>
      <w:r>
        <w:rPr>
          <w:color w:val="000000"/>
        </w:rPr>
        <w:t>All material on each page should fit within a rectangle of 18 x 23.5 cm (7" x 9.25"), centred on the page, beginning 2.54 cm (1") from the top of the page and ending with 2.54 cm (1") from the bottom.  The right and left margins should be 1.9 cm (.75”</w:t>
      </w:r>
      <w:proofErr w:type="gramStart"/>
      <w:r>
        <w:rPr>
          <w:color w:val="000000"/>
        </w:rPr>
        <w:t>).The</w:t>
      </w:r>
      <w:proofErr w:type="gramEnd"/>
      <w:r>
        <w:rPr>
          <w:color w:val="000000"/>
        </w:rPr>
        <w:t xml:space="preserve"> text should be in two 8.45 cm (3.33") columns with a .83 cm (.33") gutter.</w:t>
      </w:r>
    </w:p>
    <w:p w14:paraId="54EF0A0C" w14:textId="77777777" w:rsidR="00950381" w:rsidRDefault="00000000">
      <w:pPr>
        <w:pStyle w:val="Heading1"/>
        <w:numPr>
          <w:ilvl w:val="0"/>
          <w:numId w:val="1"/>
        </w:numPr>
        <w:spacing w:before="120"/>
      </w:pPr>
      <w:r>
        <w:t>TYPESET TEXT</w:t>
      </w:r>
    </w:p>
    <w:p w14:paraId="71615EAD" w14:textId="77777777" w:rsidR="00950381" w:rsidRDefault="00000000">
      <w:pPr>
        <w:pStyle w:val="Heading2"/>
        <w:numPr>
          <w:ilvl w:val="1"/>
          <w:numId w:val="1"/>
        </w:numPr>
        <w:spacing w:before="0"/>
      </w:pPr>
      <w:r>
        <w:t>Normal or Body Text</w:t>
      </w:r>
    </w:p>
    <w:p w14:paraId="3F79F767" w14:textId="77777777" w:rsidR="00950381" w:rsidRDefault="00000000">
      <w:pPr>
        <w:pBdr>
          <w:top w:val="nil"/>
          <w:left w:val="nil"/>
          <w:bottom w:val="nil"/>
          <w:right w:val="nil"/>
          <w:between w:val="nil"/>
        </w:pBdr>
        <w:spacing w:after="120"/>
        <w:rPr>
          <w:color w:val="000000"/>
        </w:rPr>
      </w:pPr>
      <w:r>
        <w:rPr>
          <w:color w:val="000000"/>
        </w:rPr>
        <w:t>Please use a 9-point Times Roman font, or other Roman font with serifs, as close as possible in appearance to Times Roman in which these guidelines have been set. The goal is to have a 9-point text, as you see here. Please use sans-serif or non-proportional fonts only for special purposes, such as distinguishing source code text. If Times Roman is not available, try the font named Computer Modern Roman. On a Macintosh, use the font named Times.  Right margins should be justified, not ragged.</w:t>
      </w:r>
    </w:p>
    <w:p w14:paraId="4514FB44" w14:textId="77777777" w:rsidR="00950381" w:rsidRDefault="00000000">
      <w:pPr>
        <w:pStyle w:val="Heading2"/>
        <w:numPr>
          <w:ilvl w:val="1"/>
          <w:numId w:val="1"/>
        </w:numPr>
        <w:spacing w:before="120"/>
      </w:pPr>
      <w:r>
        <w:lastRenderedPageBreak/>
        <w:t>Title and Authors</w:t>
      </w:r>
    </w:p>
    <w:p w14:paraId="50F8392B" w14:textId="77777777" w:rsidR="00950381" w:rsidRDefault="00000000">
      <w:pPr>
        <w:spacing w:after="120"/>
      </w:pPr>
      <w:r>
        <w:t xml:space="preserve">The title (Helvetica 18-point bold), authors' names (Helvetica 12-point) and affiliations (Helvetica 10-point) run across the full width of the page – one column wide. We also recommend phone number (Helvetica 10-point) and e-mail address (Helvetica 12-point). See the top of this page for three addresses. If only one address is needed, </w:t>
      </w:r>
      <w:proofErr w:type="spellStart"/>
      <w:r>
        <w:t>center</w:t>
      </w:r>
      <w:proofErr w:type="spellEnd"/>
      <w:r>
        <w:t xml:space="preserve"> all address text. For two addresses, use two </w:t>
      </w:r>
      <w:proofErr w:type="spellStart"/>
      <w:r>
        <w:t>centered</w:t>
      </w:r>
      <w:proofErr w:type="spellEnd"/>
      <w:r>
        <w:t xml:space="preserve"> tabs, and so on. For more than three authors, you may have to improvise.</w:t>
      </w:r>
    </w:p>
    <w:p w14:paraId="5DB5FBD0" w14:textId="77777777" w:rsidR="00950381" w:rsidRDefault="00000000">
      <w:pPr>
        <w:pStyle w:val="Heading2"/>
        <w:numPr>
          <w:ilvl w:val="1"/>
          <w:numId w:val="1"/>
        </w:numPr>
        <w:spacing w:before="120"/>
      </w:pPr>
      <w:r>
        <w:t>First Page Copyright Notice</w:t>
      </w:r>
    </w:p>
    <w:p w14:paraId="298A488F" w14:textId="77777777" w:rsidR="00950381" w:rsidRDefault="00000000">
      <w:pPr>
        <w:pBdr>
          <w:top w:val="nil"/>
          <w:left w:val="nil"/>
          <w:bottom w:val="nil"/>
          <w:right w:val="nil"/>
          <w:between w:val="nil"/>
        </w:pBdr>
        <w:spacing w:after="120"/>
        <w:rPr>
          <w:color w:val="000000"/>
        </w:rPr>
      </w:pPr>
      <w:r>
        <w:rPr>
          <w:color w:val="000000"/>
        </w:rPr>
        <w:t>Please leave 3.81 cm (1.5") of blank text box at the bottom of the left column of the first page for the copyright notice.</w:t>
      </w:r>
    </w:p>
    <w:p w14:paraId="390E624D" w14:textId="77777777" w:rsidR="00950381" w:rsidRDefault="00000000">
      <w:pPr>
        <w:pStyle w:val="Heading2"/>
        <w:numPr>
          <w:ilvl w:val="1"/>
          <w:numId w:val="1"/>
        </w:numPr>
        <w:spacing w:before="120"/>
      </w:pPr>
      <w:r>
        <w:t>Subsequent Pages</w:t>
      </w:r>
    </w:p>
    <w:p w14:paraId="77DE0155" w14:textId="77777777" w:rsidR="00950381" w:rsidRDefault="00000000">
      <w:pPr>
        <w:pBdr>
          <w:top w:val="nil"/>
          <w:left w:val="nil"/>
          <w:bottom w:val="nil"/>
          <w:right w:val="nil"/>
          <w:between w:val="nil"/>
        </w:pBdr>
        <w:spacing w:after="120"/>
        <w:rPr>
          <w:color w:val="000000"/>
        </w:rPr>
      </w:pPr>
      <w:r>
        <w:rPr>
          <w:color w:val="000000"/>
        </w:rPr>
        <w:t>For pages other than the first page, start at the top of the page, and continue in double-column format.  The two columns on the last page should be as close to equal length as possible.</w:t>
      </w:r>
    </w:p>
    <w:p w14:paraId="1AE60029" w14:textId="77777777" w:rsidR="00950381" w:rsidRDefault="00950381">
      <w:pPr>
        <w:pBdr>
          <w:top w:val="nil"/>
          <w:left w:val="nil"/>
          <w:bottom w:val="nil"/>
          <w:right w:val="nil"/>
          <w:between w:val="nil"/>
        </w:pBdr>
        <w:spacing w:after="0"/>
        <w:rPr>
          <w:color w:val="000000"/>
        </w:rPr>
      </w:pPr>
    </w:p>
    <w:p w14:paraId="04A0D620" w14:textId="77777777" w:rsidR="00950381" w:rsidRDefault="00000000">
      <w:pPr>
        <w:keepNext/>
        <w:pBdr>
          <w:top w:val="nil"/>
          <w:left w:val="nil"/>
          <w:bottom w:val="nil"/>
          <w:right w:val="nil"/>
          <w:between w:val="nil"/>
        </w:pBdr>
        <w:jc w:val="center"/>
        <w:rPr>
          <w:b/>
          <w:bCs/>
          <w:color w:val="000000"/>
        </w:rPr>
      </w:pPr>
      <w:r>
        <w:rPr>
          <w:b/>
          <w:bCs/>
          <w:color w:val="000000"/>
        </w:rPr>
        <w:t>Table 1. Table captions should be placed above the table</w:t>
      </w:r>
    </w:p>
    <w:p w14:paraId="29434A11" w14:textId="77777777" w:rsidR="00950381" w:rsidRDefault="00000000">
      <w:pPr>
        <w:pBdr>
          <w:top w:val="nil"/>
          <w:left w:val="nil"/>
          <w:bottom w:val="nil"/>
          <w:right w:val="nil"/>
          <w:between w:val="nil"/>
        </w:pBdr>
        <w:spacing w:after="0"/>
        <w:rPr>
          <w:color w:val="000000"/>
        </w:rPr>
      </w:pPr>
      <w:r>
        <w:rPr>
          <w:noProof/>
          <w:color w:val="000000"/>
        </w:rPr>
        <w:drawing>
          <wp:inline distT="0" distB="0" distL="0" distR="0" wp14:anchorId="646E2326" wp14:editId="70475E24">
            <wp:extent cx="3076264" cy="85663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b="14078"/>
                    <a:stretch>
                      <a:fillRect/>
                    </a:stretch>
                  </pic:blipFill>
                  <pic:spPr>
                    <a:xfrm>
                      <a:off x="0" y="0"/>
                      <a:ext cx="3076264" cy="856630"/>
                    </a:xfrm>
                    <a:prstGeom prst="rect">
                      <a:avLst/>
                    </a:prstGeom>
                    <a:ln/>
                  </pic:spPr>
                </pic:pic>
              </a:graphicData>
            </a:graphic>
          </wp:inline>
        </w:drawing>
      </w:r>
    </w:p>
    <w:p w14:paraId="157D29BF" w14:textId="77777777" w:rsidR="00950381" w:rsidRDefault="00000000">
      <w:pPr>
        <w:pStyle w:val="Heading2"/>
        <w:numPr>
          <w:ilvl w:val="1"/>
          <w:numId w:val="1"/>
        </w:numPr>
        <w:spacing w:before="120"/>
      </w:pPr>
      <w:r>
        <w:t>References and Citations</w:t>
      </w:r>
    </w:p>
    <w:p w14:paraId="7DB7475F" w14:textId="77777777" w:rsidR="00950381" w:rsidRDefault="00000000">
      <w:pPr>
        <w:spacing w:after="120"/>
      </w:pPr>
      <w:r>
        <w:t>Footnotes should be Times New Roman 9-</w:t>
      </w:r>
      <w:proofErr w:type="gramStart"/>
      <w:r>
        <w:t>point, and</w:t>
      </w:r>
      <w:proofErr w:type="gramEnd"/>
      <w:r>
        <w:t xml:space="preserve"> justified to the full width of the column.</w:t>
      </w:r>
    </w:p>
    <w:p w14:paraId="7B39F02F" w14:textId="77777777" w:rsidR="00950381" w:rsidRDefault="00000000">
      <w:pPr>
        <w:spacing w:after="120"/>
      </w:pPr>
      <w:r>
        <w:t>Number citations consecutively in square brackets [1]. The sentence punctuation follows the brackets [2]. Multiple references [2], [3] are each numbered with separate brackets [1]</w:t>
      </w:r>
      <w:proofErr w:type="gramStart"/>
      <w:r>
        <w:t>–[</w:t>
      </w:r>
      <w:proofErr w:type="gramEnd"/>
      <w:r>
        <w:t xml:space="preserve">3]. </w:t>
      </w:r>
    </w:p>
    <w:p w14:paraId="78C031D5" w14:textId="77777777" w:rsidR="00950381" w:rsidRDefault="00000000">
      <w:pPr>
        <w:numPr>
          <w:ilvl w:val="0"/>
          <w:numId w:val="2"/>
        </w:numPr>
        <w:pBdr>
          <w:top w:val="nil"/>
          <w:left w:val="nil"/>
          <w:bottom w:val="nil"/>
          <w:right w:val="nil"/>
          <w:between w:val="nil"/>
        </w:pBdr>
        <w:jc w:val="left"/>
      </w:pPr>
      <w:r>
        <w:rPr>
          <w:color w:val="000000"/>
        </w:rPr>
        <w:t xml:space="preserve">A.B. Smith, C.D. Jones, and E.F. Roberts (Date). “Article Title”, </w:t>
      </w:r>
      <w:r>
        <w:rPr>
          <w:i/>
          <w:iCs/>
          <w:color w:val="000000"/>
        </w:rPr>
        <w:t>Journal</w:t>
      </w:r>
      <w:r>
        <w:rPr>
          <w:color w:val="000000"/>
        </w:rPr>
        <w:t xml:space="preserve">, Publisher, </w:t>
      </w:r>
      <w:proofErr w:type="gramStart"/>
      <w:r>
        <w:rPr>
          <w:color w:val="000000"/>
        </w:rPr>
        <w:t>Volume(</w:t>
      </w:r>
      <w:proofErr w:type="gramEnd"/>
      <w:r>
        <w:rPr>
          <w:color w:val="000000"/>
        </w:rPr>
        <w:t>Issue</w:t>
      </w:r>
      <w:proofErr w:type="gramStart"/>
      <w:r>
        <w:rPr>
          <w:color w:val="000000"/>
        </w:rPr>
        <w:t>),  pp.</w:t>
      </w:r>
      <w:proofErr w:type="gramEnd"/>
      <w:r>
        <w:rPr>
          <w:color w:val="000000"/>
        </w:rPr>
        <w:t xml:space="preserve"> 1-10.</w:t>
      </w:r>
    </w:p>
    <w:p w14:paraId="0044B4D7" w14:textId="77777777" w:rsidR="00950381" w:rsidRDefault="00000000">
      <w:pPr>
        <w:numPr>
          <w:ilvl w:val="0"/>
          <w:numId w:val="2"/>
        </w:numPr>
        <w:pBdr>
          <w:top w:val="nil"/>
          <w:left w:val="nil"/>
          <w:bottom w:val="nil"/>
          <w:right w:val="nil"/>
          <w:between w:val="nil"/>
        </w:pBdr>
        <w:jc w:val="left"/>
      </w:pPr>
      <w:r>
        <w:rPr>
          <w:color w:val="000000"/>
        </w:rPr>
        <w:t xml:space="preserve">Jones, C.D., A.B. Smith, and E.F. Roberts (Date). </w:t>
      </w:r>
      <w:r>
        <w:rPr>
          <w:i/>
          <w:iCs/>
          <w:color w:val="000000"/>
        </w:rPr>
        <w:t>Book Title</w:t>
      </w:r>
      <w:r>
        <w:rPr>
          <w:color w:val="000000"/>
        </w:rPr>
        <w:t>, Publisher, Location.</w:t>
      </w:r>
    </w:p>
    <w:p w14:paraId="66DA4457" w14:textId="77777777" w:rsidR="00950381" w:rsidRDefault="00000000">
      <w:pPr>
        <w:spacing w:after="120"/>
      </w:pPr>
      <w:r>
        <w:t>References should be published materials accessible to the public. Internal technical reports may be cited only if they are easily accessible (i.e. you can give the address to obtain the report within your citation) and may be obtained by any reader. Proprietary information may not be cited. Private communications should be acknowledged, not referenced (e.g., “[Nilsson, personal communication]”).</w:t>
      </w:r>
    </w:p>
    <w:p w14:paraId="5E7CAC33" w14:textId="77777777" w:rsidR="00950381" w:rsidRDefault="00000000">
      <w:pPr>
        <w:pStyle w:val="Heading2"/>
        <w:numPr>
          <w:ilvl w:val="1"/>
          <w:numId w:val="1"/>
        </w:numPr>
        <w:spacing w:before="120"/>
      </w:pPr>
      <w:r>
        <w:t>Page Numbering, Headers and Footers</w:t>
      </w:r>
    </w:p>
    <w:p w14:paraId="6FE70CA5" w14:textId="77777777" w:rsidR="00950381" w:rsidRDefault="00000000">
      <w:pPr>
        <w:pBdr>
          <w:top w:val="nil"/>
          <w:left w:val="nil"/>
          <w:bottom w:val="nil"/>
          <w:right w:val="nil"/>
          <w:between w:val="nil"/>
        </w:pBdr>
        <w:spacing w:after="120"/>
        <w:rPr>
          <w:color w:val="000000"/>
        </w:rPr>
      </w:pPr>
      <w:r>
        <w:rPr>
          <w:color w:val="000000"/>
        </w:rPr>
        <w:t>Do not include headers, footers or page numbers in your submission. These will be added when the publications are assembled.</w:t>
      </w:r>
    </w:p>
    <w:p w14:paraId="0DDD1A45" w14:textId="77777777" w:rsidR="00950381" w:rsidRDefault="00000000">
      <w:pPr>
        <w:pStyle w:val="Heading2"/>
        <w:numPr>
          <w:ilvl w:val="1"/>
          <w:numId w:val="1"/>
        </w:numPr>
        <w:spacing w:before="120"/>
      </w:pPr>
      <w:r>
        <w:t xml:space="preserve">Report length </w:t>
      </w:r>
    </w:p>
    <w:p w14:paraId="76457426" w14:textId="77777777" w:rsidR="00950381" w:rsidRDefault="00000000">
      <w:r>
        <w:t xml:space="preserve">The length of the full report, including the references should not exceed six pages.  </w:t>
      </w:r>
    </w:p>
    <w:p w14:paraId="6185C0A7" w14:textId="77777777" w:rsidR="00950381" w:rsidRDefault="00000000">
      <w:pPr>
        <w:pStyle w:val="Heading1"/>
        <w:numPr>
          <w:ilvl w:val="0"/>
          <w:numId w:val="1"/>
        </w:numPr>
        <w:spacing w:before="120"/>
      </w:pPr>
      <w:r>
        <w:t>FIGURES/CAPTIONS</w:t>
      </w:r>
    </w:p>
    <w:p w14:paraId="633CA168" w14:textId="77777777" w:rsidR="00950381" w:rsidRDefault="00000000">
      <w:pPr>
        <w:spacing w:after="120"/>
      </w:pPr>
      <w:r>
        <w:t>Place Tables/Figures/Images in text as close to the reference as possible (see Figure 1).  It may extend across both columns to a maximum width of 17.78 cm (7”).</w:t>
      </w:r>
    </w:p>
    <w:p w14:paraId="2808EB59" w14:textId="77777777" w:rsidR="00950381" w:rsidRDefault="00000000">
      <w:pPr>
        <w:spacing w:after="120"/>
      </w:pPr>
      <w:r>
        <w:t xml:space="preserve">Captions should be Times New Roman 9-point bold.  They should be numbered (e.g., “Table 1” or “Figure 2”), please note that the word for Table and Figure </w:t>
      </w:r>
      <w:proofErr w:type="gramStart"/>
      <w:r>
        <w:t>are</w:t>
      </w:r>
      <w:proofErr w:type="gramEnd"/>
      <w:r>
        <w:t xml:space="preserve"> spelled out. Figure’s captions should be </w:t>
      </w:r>
      <w:proofErr w:type="spellStart"/>
      <w:r>
        <w:t>centered</w:t>
      </w:r>
      <w:proofErr w:type="spellEnd"/>
      <w:r>
        <w:t xml:space="preserve"> beneath the image or picture, and Table captions should be </w:t>
      </w:r>
      <w:proofErr w:type="spellStart"/>
      <w:r>
        <w:t>centered</w:t>
      </w:r>
      <w:proofErr w:type="spellEnd"/>
      <w:r>
        <w:t xml:space="preserve"> above the table body.</w:t>
      </w:r>
    </w:p>
    <w:p w14:paraId="793983A1" w14:textId="77777777" w:rsidR="00950381" w:rsidRDefault="00000000">
      <w:pPr>
        <w:pStyle w:val="Heading1"/>
        <w:numPr>
          <w:ilvl w:val="0"/>
          <w:numId w:val="1"/>
        </w:numPr>
        <w:spacing w:before="120"/>
      </w:pPr>
      <w:r>
        <w:t>SECTIONS</w:t>
      </w:r>
    </w:p>
    <w:p w14:paraId="2E7BB093" w14:textId="77777777" w:rsidR="00950381" w:rsidRDefault="00000000">
      <w:pPr>
        <w:pBdr>
          <w:top w:val="nil"/>
          <w:left w:val="nil"/>
          <w:bottom w:val="nil"/>
          <w:right w:val="nil"/>
          <w:between w:val="nil"/>
        </w:pBdr>
        <w:spacing w:after="120"/>
        <w:rPr>
          <w:color w:val="000000"/>
        </w:rPr>
      </w:pPr>
      <w:r>
        <w:rPr>
          <w:color w:val="000000"/>
        </w:rPr>
        <w:t>The heading of a section should be in Times New Roman 12-point bold in all-capitals flush left with an additional 6-points of white space above the section head.  Sections and subsequent sub- sections should be numbered and flush left. For a section head and a subsection head together (such as Section 3 and subsection 3.1), use no additional space above the subsection head.</w:t>
      </w:r>
    </w:p>
    <w:p w14:paraId="5A31BF42" w14:textId="77777777" w:rsidR="00950381" w:rsidRDefault="00000000">
      <w:pPr>
        <w:pStyle w:val="Heading2"/>
        <w:numPr>
          <w:ilvl w:val="1"/>
          <w:numId w:val="1"/>
        </w:numPr>
        <w:spacing w:before="120"/>
      </w:pPr>
      <w:r>
        <w:t>Subsections</w:t>
      </w:r>
    </w:p>
    <w:p w14:paraId="4183283C" w14:textId="77777777" w:rsidR="00950381" w:rsidRDefault="00000000">
      <w:pPr>
        <w:spacing w:after="120"/>
      </w:pPr>
      <w:r>
        <w:t xml:space="preserve">The heading of subsections should be in Times New Roman 12-point bold with only the initial letters capitalized. (Note: For subsections and subsubsections, a word like </w:t>
      </w:r>
      <w:r>
        <w:rPr>
          <w:i/>
          <w:iCs/>
        </w:rPr>
        <w:t>the</w:t>
      </w:r>
      <w:r>
        <w:t xml:space="preserve"> or </w:t>
      </w:r>
      <w:r>
        <w:rPr>
          <w:i/>
          <w:iCs/>
        </w:rPr>
        <w:t>a</w:t>
      </w:r>
      <w:r>
        <w:t xml:space="preserve"> is not capitalized unless it is the first word of the header.)</w:t>
      </w:r>
    </w:p>
    <w:p w14:paraId="5FAB56CB" w14:textId="77777777" w:rsidR="00950381" w:rsidRDefault="00000000">
      <w:pPr>
        <w:pStyle w:val="Heading3"/>
        <w:numPr>
          <w:ilvl w:val="2"/>
          <w:numId w:val="1"/>
        </w:numPr>
        <w:spacing w:before="120"/>
      </w:pPr>
      <w:r>
        <w:t>Subsubsections</w:t>
      </w:r>
    </w:p>
    <w:p w14:paraId="4B2D9126" w14:textId="77777777" w:rsidR="00950381" w:rsidRDefault="00000000">
      <w:pPr>
        <w:pBdr>
          <w:top w:val="nil"/>
          <w:left w:val="nil"/>
          <w:bottom w:val="nil"/>
          <w:right w:val="nil"/>
          <w:between w:val="nil"/>
        </w:pBdr>
        <w:spacing w:after="120"/>
        <w:rPr>
          <w:color w:val="000000"/>
        </w:rPr>
      </w:pPr>
      <w:r>
        <w:rPr>
          <w:color w:val="000000"/>
        </w:rPr>
        <w:t>The heading for subsubsections should be in Times New Roman 11-point italic with initial letters capitalized and 6-points of white space above the subsubsection head.</w:t>
      </w:r>
    </w:p>
    <w:p w14:paraId="2E262BC2" w14:textId="77777777" w:rsidR="00950381" w:rsidRDefault="00000000">
      <w:pPr>
        <w:pStyle w:val="Heading4"/>
        <w:numPr>
          <w:ilvl w:val="3"/>
          <w:numId w:val="1"/>
        </w:numPr>
        <w:spacing w:before="120"/>
      </w:pPr>
      <w:r>
        <w:t>Subsubsections</w:t>
      </w:r>
    </w:p>
    <w:p w14:paraId="096979DC" w14:textId="77777777" w:rsidR="00950381" w:rsidRDefault="00000000">
      <w:pPr>
        <w:pBdr>
          <w:top w:val="nil"/>
          <w:left w:val="nil"/>
          <w:bottom w:val="nil"/>
          <w:right w:val="nil"/>
          <w:between w:val="nil"/>
        </w:pBdr>
        <w:spacing w:after="120"/>
        <w:rPr>
          <w:color w:val="000000"/>
        </w:rPr>
      </w:pPr>
      <w:r>
        <w:rPr>
          <w:color w:val="000000"/>
        </w:rPr>
        <w:t>The heading for subsubsections should be in Times New Roman 11-point italic with initial letters capitalized.</w:t>
      </w:r>
    </w:p>
    <w:p w14:paraId="2E74B23B" w14:textId="77777777" w:rsidR="00950381" w:rsidRDefault="00000000">
      <w:pPr>
        <w:pStyle w:val="Heading4"/>
        <w:numPr>
          <w:ilvl w:val="3"/>
          <w:numId w:val="1"/>
        </w:numPr>
        <w:spacing w:before="120"/>
      </w:pPr>
      <w:r>
        <w:t>Subsubsections</w:t>
      </w:r>
    </w:p>
    <w:p w14:paraId="4DE65BF2" w14:textId="77777777" w:rsidR="00950381" w:rsidRDefault="00000000">
      <w:pPr>
        <w:pBdr>
          <w:top w:val="nil"/>
          <w:left w:val="nil"/>
          <w:bottom w:val="nil"/>
          <w:right w:val="nil"/>
          <w:between w:val="nil"/>
        </w:pBdr>
        <w:spacing w:after="120"/>
        <w:rPr>
          <w:color w:val="000000"/>
        </w:rPr>
      </w:pPr>
      <w:r>
        <w:rPr>
          <w:color w:val="000000"/>
        </w:rPr>
        <w:t>The heading for subsubsections should be in Times New Roman 11-point italic with initial letters capitalized.</w:t>
      </w:r>
    </w:p>
    <w:p w14:paraId="19623CF1" w14:textId="77777777" w:rsidR="00950381" w:rsidRDefault="00950381">
      <w:pPr>
        <w:pBdr>
          <w:top w:val="nil"/>
          <w:left w:val="nil"/>
          <w:bottom w:val="nil"/>
          <w:right w:val="nil"/>
          <w:between w:val="nil"/>
        </w:pBdr>
        <w:spacing w:after="120"/>
        <w:rPr>
          <w:color w:val="000000"/>
        </w:rPr>
      </w:pPr>
    </w:p>
    <w:p w14:paraId="68C89DD9" w14:textId="77777777" w:rsidR="00950381" w:rsidRDefault="00000000">
      <w:pPr>
        <w:pBdr>
          <w:top w:val="nil"/>
          <w:left w:val="nil"/>
          <w:bottom w:val="nil"/>
          <w:right w:val="nil"/>
          <w:between w:val="nil"/>
        </w:pBdr>
        <w:ind w:left="360" w:hanging="360"/>
        <w:jc w:val="left"/>
        <w:rPr>
          <w:b/>
          <w:bCs/>
          <w:color w:val="000000"/>
          <w:sz w:val="28"/>
          <w:szCs w:val="28"/>
        </w:rPr>
      </w:pPr>
      <w:r>
        <w:rPr>
          <w:b/>
          <w:bCs/>
          <w:color w:val="000000"/>
          <w:sz w:val="28"/>
          <w:szCs w:val="28"/>
        </w:rPr>
        <w:t xml:space="preserve">Columns on Last Page Should Be Made </w:t>
      </w:r>
      <w:proofErr w:type="gramStart"/>
      <w:r>
        <w:rPr>
          <w:b/>
          <w:bCs/>
          <w:color w:val="000000"/>
          <w:sz w:val="28"/>
          <w:szCs w:val="28"/>
        </w:rPr>
        <w:t>As</w:t>
      </w:r>
      <w:proofErr w:type="gramEnd"/>
      <w:r>
        <w:rPr>
          <w:b/>
          <w:bCs/>
          <w:color w:val="000000"/>
          <w:sz w:val="28"/>
          <w:szCs w:val="28"/>
        </w:rPr>
        <w:t xml:space="preserve"> Close </w:t>
      </w:r>
      <w:proofErr w:type="gramStart"/>
      <w:r>
        <w:rPr>
          <w:b/>
          <w:bCs/>
          <w:color w:val="000000"/>
          <w:sz w:val="28"/>
          <w:szCs w:val="28"/>
        </w:rPr>
        <w:t>As</w:t>
      </w:r>
      <w:proofErr w:type="gramEnd"/>
      <w:r>
        <w:rPr>
          <w:b/>
          <w:bCs/>
          <w:color w:val="000000"/>
          <w:sz w:val="28"/>
          <w:szCs w:val="28"/>
        </w:rPr>
        <w:t xml:space="preserve"> Possible to Equal Length</w:t>
      </w:r>
    </w:p>
    <w:p w14:paraId="735C85CA" w14:textId="77777777" w:rsidR="00950381" w:rsidRDefault="00950381">
      <w:pPr>
        <w:pBdr>
          <w:top w:val="nil"/>
          <w:left w:val="nil"/>
          <w:bottom w:val="nil"/>
          <w:right w:val="nil"/>
          <w:between w:val="nil"/>
        </w:pBdr>
        <w:spacing w:after="120"/>
        <w:rPr>
          <w:color w:val="000000"/>
        </w:rPr>
      </w:pPr>
    </w:p>
    <w:p w14:paraId="3F858F2B" w14:textId="77777777" w:rsidR="00950381" w:rsidRDefault="00000000">
      <w:pPr>
        <w:keepNext/>
        <w:pBdr>
          <w:top w:val="nil"/>
          <w:left w:val="nil"/>
          <w:bottom w:val="nil"/>
          <w:right w:val="nil"/>
          <w:between w:val="nil"/>
        </w:pBdr>
        <w:spacing w:after="120"/>
        <w:jc w:val="center"/>
        <w:rPr>
          <w:color w:val="000000"/>
        </w:rPr>
      </w:pPr>
      <w:r>
        <w:rPr>
          <w:noProof/>
          <w:color w:val="000000"/>
        </w:rPr>
        <w:drawing>
          <wp:inline distT="0" distB="0" distL="0" distR="0" wp14:anchorId="7CF37626" wp14:editId="23087F60">
            <wp:extent cx="2319020" cy="215773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2319020" cy="2157730"/>
                    </a:xfrm>
                    <a:prstGeom prst="rect">
                      <a:avLst/>
                    </a:prstGeom>
                    <a:ln/>
                  </pic:spPr>
                </pic:pic>
              </a:graphicData>
            </a:graphic>
          </wp:inline>
        </w:drawing>
      </w:r>
    </w:p>
    <w:p w14:paraId="01D236F9" w14:textId="77777777" w:rsidR="00950381" w:rsidRDefault="00000000">
      <w:pPr>
        <w:pBdr>
          <w:top w:val="nil"/>
          <w:left w:val="nil"/>
          <w:bottom w:val="nil"/>
          <w:right w:val="nil"/>
          <w:between w:val="nil"/>
        </w:pBdr>
        <w:jc w:val="center"/>
        <w:rPr>
          <w:b/>
          <w:bCs/>
          <w:color w:val="000000"/>
        </w:rPr>
      </w:pPr>
      <w:r>
        <w:rPr>
          <w:b/>
          <w:bCs/>
          <w:color w:val="000000"/>
        </w:rPr>
        <w:t>Figure 1. Insert caption to place caption below figure.</w:t>
      </w:r>
    </w:p>
    <w:p w14:paraId="78939378" w14:textId="77777777" w:rsidR="00950381" w:rsidRDefault="00000000">
      <w:pPr>
        <w:pStyle w:val="Heading1"/>
        <w:numPr>
          <w:ilvl w:val="0"/>
          <w:numId w:val="1"/>
        </w:numPr>
        <w:spacing w:before="120"/>
      </w:pPr>
      <w:r>
        <w:t>ACKNOWLEDGMENTS</w:t>
      </w:r>
    </w:p>
    <w:p w14:paraId="508D5875" w14:textId="77777777" w:rsidR="00950381" w:rsidRDefault="00000000">
      <w:pPr>
        <w:pBdr>
          <w:top w:val="nil"/>
          <w:left w:val="nil"/>
          <w:bottom w:val="nil"/>
          <w:right w:val="nil"/>
          <w:between w:val="nil"/>
        </w:pBdr>
        <w:spacing w:after="120"/>
        <w:rPr>
          <w:color w:val="000000"/>
        </w:rPr>
      </w:pPr>
      <w:r>
        <w:rPr>
          <w:color w:val="000000"/>
        </w:rPr>
        <w:t>Our thanks to the teachers of D7016B Course for their intellectual support.</w:t>
      </w:r>
    </w:p>
    <w:p w14:paraId="598766A1" w14:textId="77777777" w:rsidR="00950381" w:rsidRDefault="00000000">
      <w:pPr>
        <w:pStyle w:val="Heading1"/>
        <w:numPr>
          <w:ilvl w:val="0"/>
          <w:numId w:val="1"/>
        </w:numPr>
        <w:spacing w:before="120"/>
      </w:pPr>
      <w:r>
        <w:lastRenderedPageBreak/>
        <w:t>REFERENCES</w:t>
      </w:r>
    </w:p>
    <w:p w14:paraId="3A791E6F" w14:textId="77777777" w:rsidR="00950381" w:rsidRDefault="00000000">
      <w:pPr>
        <w:numPr>
          <w:ilvl w:val="0"/>
          <w:numId w:val="3"/>
        </w:numPr>
        <w:pBdr>
          <w:top w:val="nil"/>
          <w:left w:val="nil"/>
          <w:bottom w:val="nil"/>
          <w:right w:val="nil"/>
          <w:between w:val="nil"/>
        </w:pBdr>
        <w:jc w:val="left"/>
        <w:rPr>
          <w:color w:val="000000"/>
        </w:rPr>
      </w:pPr>
      <w:bookmarkStart w:id="0" w:name="bookmark=id.yx2p1kj8cqjj" w:colFirst="0" w:colLast="0"/>
      <w:bookmarkStart w:id="1" w:name="bookmark=id.bl04lvuct1ja" w:colFirst="0" w:colLast="0"/>
      <w:bookmarkEnd w:id="0"/>
      <w:bookmarkEnd w:id="1"/>
      <w:r>
        <w:rPr>
          <w:color w:val="000000"/>
        </w:rPr>
        <w:t xml:space="preserve">Blanchard, B. S. (2004). </w:t>
      </w:r>
      <w:r>
        <w:rPr>
          <w:i/>
          <w:iCs/>
          <w:color w:val="000000"/>
        </w:rPr>
        <w:t>Logistics Engineering and Management</w:t>
      </w:r>
      <w:r>
        <w:rPr>
          <w:color w:val="000000"/>
        </w:rPr>
        <w:t xml:space="preserve">. Fourth edition, Prentice-Hall, Englewood Cliffs, New </w:t>
      </w:r>
      <w:proofErr w:type="spellStart"/>
      <w:r>
        <w:rPr>
          <w:color w:val="000000"/>
        </w:rPr>
        <w:t>Jerssey</w:t>
      </w:r>
      <w:proofErr w:type="spellEnd"/>
      <w:r>
        <w:rPr>
          <w:color w:val="000000"/>
        </w:rPr>
        <w:t>.</w:t>
      </w:r>
    </w:p>
    <w:p w14:paraId="53914A09" w14:textId="77777777" w:rsidR="00950381" w:rsidRDefault="00000000">
      <w:pPr>
        <w:numPr>
          <w:ilvl w:val="0"/>
          <w:numId w:val="3"/>
        </w:numPr>
        <w:pBdr>
          <w:top w:val="nil"/>
          <w:left w:val="nil"/>
          <w:bottom w:val="nil"/>
          <w:right w:val="nil"/>
          <w:between w:val="nil"/>
        </w:pBdr>
        <w:jc w:val="left"/>
        <w:rPr>
          <w:color w:val="000000"/>
        </w:rPr>
      </w:pPr>
      <w:r>
        <w:rPr>
          <w:color w:val="000000"/>
        </w:rPr>
        <w:t>Candell, O. and Karim, R. (2008). “e-Maintenance - information driven maintenance and support”, In Proceedings of FAIM.</w:t>
      </w:r>
    </w:p>
    <w:p w14:paraId="07D22094" w14:textId="77777777" w:rsidR="00950381" w:rsidRDefault="00000000">
      <w:pPr>
        <w:numPr>
          <w:ilvl w:val="0"/>
          <w:numId w:val="3"/>
        </w:numPr>
        <w:pBdr>
          <w:top w:val="nil"/>
          <w:left w:val="nil"/>
          <w:bottom w:val="nil"/>
          <w:right w:val="nil"/>
          <w:between w:val="nil"/>
        </w:pBdr>
        <w:jc w:val="left"/>
      </w:pPr>
      <w:r>
        <w:rPr>
          <w:color w:val="000000"/>
        </w:rPr>
        <w:t xml:space="preserve">Ding, W. and </w:t>
      </w:r>
      <w:proofErr w:type="spellStart"/>
      <w:r>
        <w:rPr>
          <w:color w:val="000000"/>
        </w:rPr>
        <w:t>Marchionini</w:t>
      </w:r>
      <w:proofErr w:type="spellEnd"/>
      <w:r>
        <w:rPr>
          <w:color w:val="000000"/>
        </w:rPr>
        <w:t>, G. (1997). “</w:t>
      </w:r>
      <w:r>
        <w:rPr>
          <w:i/>
          <w:iCs/>
          <w:color w:val="000000"/>
        </w:rPr>
        <w:t>A Study on Video Browsing Strategies</w:t>
      </w:r>
      <w:r>
        <w:rPr>
          <w:color w:val="000000"/>
        </w:rPr>
        <w:t xml:space="preserve">”. Technical Report. University of Maryland at College </w:t>
      </w:r>
      <w:proofErr w:type="gramStart"/>
      <w:r>
        <w:rPr>
          <w:color w:val="000000"/>
        </w:rPr>
        <w:t>Park,.</w:t>
      </w:r>
      <w:proofErr w:type="gramEnd"/>
      <w:r>
        <w:rPr>
          <w:color w:val="000000"/>
        </w:rPr>
        <w:t xml:space="preserve"> </w:t>
      </w:r>
    </w:p>
    <w:p w14:paraId="2338710F" w14:textId="77777777" w:rsidR="00950381" w:rsidRDefault="00000000">
      <w:pPr>
        <w:numPr>
          <w:ilvl w:val="0"/>
          <w:numId w:val="3"/>
        </w:numPr>
        <w:pBdr>
          <w:top w:val="nil"/>
          <w:left w:val="nil"/>
          <w:bottom w:val="nil"/>
          <w:right w:val="nil"/>
          <w:between w:val="nil"/>
        </w:pBdr>
        <w:jc w:val="left"/>
        <w:rPr>
          <w:color w:val="000000"/>
        </w:rPr>
      </w:pPr>
      <w:r>
        <w:rPr>
          <w:color w:val="000000"/>
        </w:rPr>
        <w:t xml:space="preserve">IEC (1990). </w:t>
      </w:r>
      <w:r>
        <w:rPr>
          <w:i/>
          <w:iCs/>
          <w:color w:val="000000"/>
        </w:rPr>
        <w:t>60050 (191): Dependability and quality of service. International Electrotechnical Commission</w:t>
      </w:r>
      <w:r>
        <w:rPr>
          <w:color w:val="000000"/>
        </w:rPr>
        <w:t>, Geneva, Switzerland.</w:t>
      </w:r>
    </w:p>
    <w:p w14:paraId="47561521" w14:textId="77777777" w:rsidR="00950381" w:rsidRDefault="00000000">
      <w:pPr>
        <w:numPr>
          <w:ilvl w:val="0"/>
          <w:numId w:val="3"/>
        </w:numPr>
        <w:pBdr>
          <w:top w:val="nil"/>
          <w:left w:val="nil"/>
          <w:bottom w:val="nil"/>
          <w:right w:val="nil"/>
          <w:between w:val="nil"/>
        </w:pBdr>
        <w:jc w:val="left"/>
        <w:rPr>
          <w:color w:val="000000"/>
        </w:rPr>
      </w:pPr>
      <w:r>
        <w:rPr>
          <w:color w:val="000000"/>
        </w:rPr>
        <w:t>IEEE 610.12 (1990)</w:t>
      </w:r>
      <w:bookmarkStart w:id="2" w:name="bookmark=id.vsokvou8slsa" w:colFirst="0" w:colLast="0"/>
      <w:bookmarkEnd w:id="2"/>
      <w:r>
        <w:rPr>
          <w:color w:val="000000"/>
        </w:rPr>
        <w:t xml:space="preserve">. </w:t>
      </w:r>
      <w:r>
        <w:rPr>
          <w:i/>
          <w:iCs/>
          <w:color w:val="000000"/>
        </w:rPr>
        <w:t>IEEE Standard Glossary of Software Engineering Terminology</w:t>
      </w:r>
      <w:r>
        <w:rPr>
          <w:color w:val="000000"/>
        </w:rPr>
        <w:t xml:space="preserve">, Software Engineering, IEEE. </w:t>
      </w:r>
    </w:p>
    <w:p w14:paraId="4C75742B" w14:textId="77777777" w:rsidR="00950381" w:rsidRDefault="00000000">
      <w:pPr>
        <w:numPr>
          <w:ilvl w:val="0"/>
          <w:numId w:val="3"/>
        </w:numPr>
        <w:pBdr>
          <w:top w:val="nil"/>
          <w:left w:val="nil"/>
          <w:bottom w:val="nil"/>
          <w:right w:val="nil"/>
          <w:between w:val="nil"/>
        </w:pBdr>
        <w:jc w:val="left"/>
        <w:rPr>
          <w:color w:val="000000"/>
        </w:rPr>
      </w:pPr>
      <w:r>
        <w:rPr>
          <w:color w:val="000000"/>
        </w:rPr>
        <w:t xml:space="preserve">IEV (2008). </w:t>
      </w:r>
      <w:r>
        <w:rPr>
          <w:i/>
          <w:iCs/>
          <w:color w:val="000000"/>
        </w:rPr>
        <w:t>International Electrotechnical Vocabulary (IEV).</w:t>
      </w:r>
      <w:r>
        <w:rPr>
          <w:color w:val="000000"/>
        </w:rPr>
        <w:t xml:space="preserve"> Available at: http://www.electropedia.org/, accessed: 18 August 2008.</w:t>
      </w:r>
    </w:p>
    <w:p w14:paraId="50F68603" w14:textId="77777777" w:rsidR="00950381" w:rsidRDefault="00000000">
      <w:pPr>
        <w:numPr>
          <w:ilvl w:val="0"/>
          <w:numId w:val="3"/>
        </w:numPr>
        <w:pBdr>
          <w:top w:val="nil"/>
          <w:left w:val="nil"/>
          <w:bottom w:val="nil"/>
          <w:right w:val="nil"/>
          <w:between w:val="nil"/>
        </w:pBdr>
        <w:jc w:val="left"/>
        <w:rPr>
          <w:color w:val="000000"/>
        </w:rPr>
      </w:pPr>
      <w:bookmarkStart w:id="3" w:name="bookmark=id.jpi6yc1zu451" w:colFirst="0" w:colLast="0"/>
      <w:bookmarkEnd w:id="3"/>
      <w:r>
        <w:rPr>
          <w:color w:val="000000"/>
        </w:rPr>
        <w:t xml:space="preserve">Kajko-Mattsson, M., Grace, L.A. and Smith, D.B. (2007). “Roles for Development, Evolution and Maintenance of SOA-Based Systems”. </w:t>
      </w:r>
      <w:r>
        <w:rPr>
          <w:i/>
          <w:iCs/>
          <w:color w:val="000000"/>
        </w:rPr>
        <w:t>In</w:t>
      </w:r>
      <w:r>
        <w:rPr>
          <w:color w:val="000000"/>
        </w:rPr>
        <w:t xml:space="preserve"> </w:t>
      </w:r>
      <w:r>
        <w:rPr>
          <w:i/>
          <w:iCs/>
          <w:color w:val="000000"/>
        </w:rPr>
        <w:t>Proceedings of SDSOA</w:t>
      </w:r>
      <w:r>
        <w:rPr>
          <w:color w:val="000000"/>
        </w:rPr>
        <w:t>, IEEE.</w:t>
      </w:r>
    </w:p>
    <w:p w14:paraId="1C800C9D" w14:textId="77777777" w:rsidR="00950381" w:rsidRDefault="00000000">
      <w:pPr>
        <w:numPr>
          <w:ilvl w:val="0"/>
          <w:numId w:val="3"/>
        </w:numPr>
        <w:pBdr>
          <w:top w:val="nil"/>
          <w:left w:val="nil"/>
          <w:bottom w:val="nil"/>
          <w:right w:val="nil"/>
          <w:between w:val="nil"/>
        </w:pBdr>
        <w:jc w:val="left"/>
        <w:rPr>
          <w:color w:val="000000"/>
        </w:rPr>
      </w:pPr>
      <w:r>
        <w:rPr>
          <w:color w:val="000000"/>
        </w:rPr>
        <w:t xml:space="preserve">Karim, R., Candell, O. and Söderholm, P. (2009). </w:t>
      </w:r>
      <w:proofErr w:type="gramStart"/>
      <w:r>
        <w:rPr>
          <w:color w:val="000000"/>
        </w:rPr>
        <w:t>”Development</w:t>
      </w:r>
      <w:proofErr w:type="gramEnd"/>
      <w:r>
        <w:rPr>
          <w:color w:val="000000"/>
        </w:rPr>
        <w:t xml:space="preserve"> of ICT-based Maintenance Support Services”. </w:t>
      </w:r>
      <w:r>
        <w:rPr>
          <w:i/>
          <w:iCs/>
          <w:color w:val="000000"/>
        </w:rPr>
        <w:t>Journal of Quality in Maintenance Engineering</w:t>
      </w:r>
      <w:r>
        <w:rPr>
          <w:color w:val="000000"/>
        </w:rPr>
        <w:t>, 15(2), pp. 127-150.</w:t>
      </w:r>
    </w:p>
    <w:p w14:paraId="7770AF9C" w14:textId="77777777" w:rsidR="00950381" w:rsidRDefault="00950381">
      <w:pPr>
        <w:pBdr>
          <w:top w:val="nil"/>
          <w:left w:val="nil"/>
          <w:bottom w:val="nil"/>
          <w:right w:val="nil"/>
          <w:between w:val="nil"/>
        </w:pBdr>
        <w:ind w:left="360" w:hanging="360"/>
        <w:jc w:val="left"/>
        <w:rPr>
          <w:color w:val="000000"/>
        </w:rPr>
      </w:pPr>
    </w:p>
    <w:p w14:paraId="390DE5F0" w14:textId="77777777" w:rsidR="00950381" w:rsidRDefault="00950381">
      <w:pPr>
        <w:pBdr>
          <w:top w:val="nil"/>
          <w:left w:val="nil"/>
          <w:bottom w:val="nil"/>
          <w:right w:val="nil"/>
          <w:between w:val="nil"/>
        </w:pBdr>
        <w:ind w:left="360" w:hanging="360"/>
        <w:jc w:val="left"/>
        <w:rPr>
          <w:color w:val="000000"/>
        </w:rPr>
      </w:pPr>
    </w:p>
    <w:p w14:paraId="653B022D" w14:textId="77777777" w:rsidR="00950381" w:rsidRDefault="00950381">
      <w:pPr>
        <w:pBdr>
          <w:top w:val="nil"/>
          <w:left w:val="nil"/>
          <w:bottom w:val="nil"/>
          <w:right w:val="nil"/>
          <w:between w:val="nil"/>
        </w:pBdr>
        <w:ind w:left="360" w:hanging="360"/>
        <w:jc w:val="left"/>
        <w:rPr>
          <w:color w:val="000000"/>
        </w:rPr>
        <w:sectPr w:rsidR="00950381">
          <w:type w:val="continuous"/>
          <w:pgSz w:w="12240" w:h="15840"/>
          <w:pgMar w:top="1440" w:right="1080" w:bottom="1440" w:left="1080" w:header="720" w:footer="720" w:gutter="0"/>
          <w:cols w:num="2" w:space="720" w:equalWidth="0">
            <w:col w:w="4802" w:space="475"/>
            <w:col w:w="4802" w:space="0"/>
          </w:cols>
        </w:sectPr>
      </w:pPr>
    </w:p>
    <w:p w14:paraId="23CF57F5" w14:textId="77777777" w:rsidR="00950381" w:rsidRDefault="00950381">
      <w:pPr>
        <w:pBdr>
          <w:top w:val="nil"/>
          <w:left w:val="nil"/>
          <w:bottom w:val="nil"/>
          <w:right w:val="nil"/>
          <w:between w:val="nil"/>
        </w:pBdr>
        <w:spacing w:after="120"/>
        <w:jc w:val="center"/>
        <w:rPr>
          <w:rFonts w:ascii="Helvetica Neue" w:eastAsia="Helvetica Neue" w:hAnsi="Helvetica Neue" w:cs="Helvetica Neue"/>
          <w:b/>
          <w:bCs/>
          <w:color w:val="000000"/>
          <w:sz w:val="36"/>
          <w:szCs w:val="36"/>
        </w:rPr>
      </w:pPr>
    </w:p>
    <w:sectPr w:rsidR="00950381">
      <w:type w:val="continuous"/>
      <w:pgSz w:w="12240" w:h="15840"/>
      <w:pgMar w:top="1440" w:right="1080" w:bottom="144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3191E" w14:textId="77777777" w:rsidR="000229F6" w:rsidRDefault="000229F6">
      <w:pPr>
        <w:spacing w:after="0"/>
      </w:pPr>
      <w:r>
        <w:separator/>
      </w:r>
    </w:p>
  </w:endnote>
  <w:endnote w:type="continuationSeparator" w:id="0">
    <w:p w14:paraId="4E59C7E2" w14:textId="77777777" w:rsidR="000229F6" w:rsidRDefault="000229F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embedRegular r:id="rId1" w:fontKey="{FE57F074-DF84-4B07-BD05-718C49B8537F}"/>
    <w:embedBold r:id="rId2" w:fontKey="{1FA7302A-B6B0-49F5-91B9-CD68D6CCDE4B}"/>
  </w:font>
  <w:font w:name="Tahoma">
    <w:panose1 w:val="020B0604030504040204"/>
    <w:charset w:val="00"/>
    <w:family w:val="roman"/>
    <w:notTrueType/>
    <w:pitch w:val="default"/>
    <w:embedRegular r:id="rId3" w:fontKey="{92F47C67-1C77-4124-BCFC-3D1A2A0BA32A}"/>
  </w:font>
  <w:font w:name="Miriam">
    <w:panose1 w:val="00000000000000000000"/>
    <w:charset w:val="00"/>
    <w:family w:val="roman"/>
    <w:notTrueType/>
    <w:pitch w:val="default"/>
  </w:font>
  <w:font w:name="Georgia">
    <w:panose1 w:val="02040502050405020303"/>
    <w:charset w:val="00"/>
    <w:family w:val="auto"/>
    <w:pitch w:val="default"/>
    <w:embedItalic r:id="rId4" w:fontKey="{48DABF6E-1D51-4A21-B96B-39E899A1875D}"/>
  </w:font>
  <w:font w:name="Helvetica Neue">
    <w:charset w:val="00"/>
    <w:family w:val="auto"/>
    <w:pitch w:val="default"/>
    <w:embedRegular r:id="rId5" w:fontKey="{9210CEBA-21F2-49BC-9918-C9F28E768F22}"/>
    <w:embedBold r:id="rId6" w:fontKey="{C2484F37-8E58-4E70-9A95-A31E52D4461A}"/>
  </w:font>
  <w:font w:name="Calibri Light">
    <w:panose1 w:val="020F0302020204030204"/>
    <w:charset w:val="00"/>
    <w:family w:val="swiss"/>
    <w:pitch w:val="variable"/>
    <w:sig w:usb0="E4002EFF" w:usb1="C200247B" w:usb2="00000009" w:usb3="00000000" w:csb0="000001FF" w:csb1="00000000"/>
    <w:embedRegular r:id="rId7" w:fontKey="{07BE1A63-FE2B-4E37-947C-83D0B9904E3B}"/>
  </w:font>
  <w:font w:name="Calibri">
    <w:panose1 w:val="020F0502020204030204"/>
    <w:charset w:val="00"/>
    <w:family w:val="swiss"/>
    <w:pitch w:val="variable"/>
    <w:sig w:usb0="E4002EFF" w:usb1="C200247B" w:usb2="00000009" w:usb3="00000000" w:csb0="000001FF" w:csb1="00000000"/>
    <w:embedRegular r:id="rId8" w:fontKey="{58E6C80D-C710-46D9-A4A5-4F0B3F1D0E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F5710" w14:textId="77777777" w:rsidR="00950381"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44BFAA5" w14:textId="77777777" w:rsidR="00950381" w:rsidRDefault="00950381">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9F05D" w14:textId="77777777" w:rsidR="000229F6" w:rsidRDefault="000229F6">
      <w:pPr>
        <w:spacing w:after="0"/>
      </w:pPr>
      <w:r>
        <w:separator/>
      </w:r>
    </w:p>
  </w:footnote>
  <w:footnote w:type="continuationSeparator" w:id="0">
    <w:p w14:paraId="7FDD6005" w14:textId="77777777" w:rsidR="000229F6" w:rsidRDefault="000229F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04FD4"/>
    <w:multiLevelType w:val="multilevel"/>
    <w:tmpl w:val="2C00632C"/>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1" w15:restartNumberingAfterBreak="0">
    <w:nsid w:val="381779E5"/>
    <w:multiLevelType w:val="multilevel"/>
    <w:tmpl w:val="33524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1FC4411"/>
    <w:multiLevelType w:val="multilevel"/>
    <w:tmpl w:val="05749B0A"/>
    <w:lvl w:ilvl="0">
      <w:start w:val="1"/>
      <w:numFmt w:val="decimal"/>
      <w:pStyle w:val="References"/>
      <w:lvlText w:val="[%1]"/>
      <w:lvlJc w:val="left"/>
      <w:pPr>
        <w:ind w:left="360" w:hanging="360"/>
      </w:pPr>
      <w:rPr>
        <w:rFonts w:ascii="Times New Roman" w:eastAsia="Times New Roman" w:hAnsi="Times New Roman" w:cs="Times New Roman"/>
        <w:sz w:val="18"/>
        <w:szCs w:val="18"/>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6AF916D2"/>
    <w:multiLevelType w:val="multilevel"/>
    <w:tmpl w:val="5C76AC02"/>
    <w:lvl w:ilvl="0">
      <w:start w:val="1"/>
      <w:numFmt w:val="decimal"/>
      <w:lvlText w:val="[%1]"/>
      <w:lvlJc w:val="left"/>
      <w:pPr>
        <w:ind w:left="360" w:hanging="360"/>
      </w:pPr>
      <w:rPr>
        <w:rFonts w:ascii="Times New Roman" w:eastAsia="Times New Roman" w:hAnsi="Times New Roman" w:cs="Times New Roman"/>
        <w:sz w:val="18"/>
        <w:szCs w:val="18"/>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6627758">
    <w:abstractNumId w:val="0"/>
  </w:num>
  <w:num w:numId="2" w16cid:durableId="1302463357">
    <w:abstractNumId w:val="2"/>
  </w:num>
  <w:num w:numId="3" w16cid:durableId="1705716422">
    <w:abstractNumId w:val="3"/>
  </w:num>
  <w:num w:numId="4" w16cid:durableId="10219736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381"/>
    <w:rsid w:val="000229F6"/>
    <w:rsid w:val="001E4708"/>
    <w:rsid w:val="00247A74"/>
    <w:rsid w:val="00950381"/>
    <w:rsid w:val="00A67FC9"/>
    <w:rsid w:val="00B16F24"/>
    <w:rsid w:val="00F319F9"/>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EB0F"/>
  <w15:docId w15:val="{5B460843-77BF-44F1-901E-71833F3C4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8"/>
        <w:szCs w:val="18"/>
        <w:lang w:val="en-GB" w:eastAsia="sv-SE" w:bidi="ar-SA"/>
      </w:rPr>
    </w:rPrDefault>
    <w:pPrDefault>
      <w:pPr>
        <w:spacing w:after="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40" w:after="0"/>
      <w:jc w:val="left"/>
      <w:outlineLvl w:val="0"/>
    </w:pPr>
    <w:rPr>
      <w:b/>
      <w:bCs/>
      <w:sz w:val="24"/>
      <w:szCs w:val="24"/>
    </w:rPr>
  </w:style>
  <w:style w:type="paragraph" w:styleId="Heading2">
    <w:name w:val="heading 2"/>
    <w:basedOn w:val="Normal"/>
    <w:next w:val="Normal"/>
    <w:link w:val="Heading2Char"/>
    <w:uiPriority w:val="9"/>
    <w:unhideWhenUsed/>
    <w:qFormat/>
    <w:pPr>
      <w:keepNext/>
      <w:spacing w:before="40" w:after="0"/>
      <w:jc w:val="left"/>
      <w:outlineLvl w:val="1"/>
    </w:pPr>
    <w:rPr>
      <w:b/>
      <w:bCs/>
      <w:sz w:val="24"/>
      <w:szCs w:val="24"/>
    </w:rPr>
  </w:style>
  <w:style w:type="paragraph" w:styleId="Heading3">
    <w:name w:val="heading 3"/>
    <w:basedOn w:val="Normal"/>
    <w:next w:val="Normal"/>
    <w:uiPriority w:val="9"/>
    <w:unhideWhenUsed/>
    <w:qFormat/>
    <w:pPr>
      <w:keepNext/>
      <w:spacing w:before="40" w:after="0"/>
      <w:jc w:val="left"/>
      <w:outlineLvl w:val="2"/>
    </w:pPr>
    <w:rPr>
      <w:i/>
      <w:iCs/>
      <w:sz w:val="22"/>
      <w:szCs w:val="22"/>
    </w:rPr>
  </w:style>
  <w:style w:type="paragraph" w:styleId="Heading4">
    <w:name w:val="heading 4"/>
    <w:basedOn w:val="Normal"/>
    <w:next w:val="Normal"/>
    <w:uiPriority w:val="9"/>
    <w:unhideWhenUsed/>
    <w:qFormat/>
    <w:pPr>
      <w:keepNext/>
      <w:spacing w:before="40" w:after="0"/>
      <w:jc w:val="left"/>
      <w:outlineLvl w:val="3"/>
    </w:pPr>
    <w:rPr>
      <w:i/>
      <w:iCs/>
      <w:sz w:val="22"/>
      <w:szCs w:val="22"/>
    </w:rPr>
  </w:style>
  <w:style w:type="paragraph" w:styleId="Heading5">
    <w:name w:val="heading 5"/>
    <w:basedOn w:val="Normal"/>
    <w:next w:val="Normal"/>
    <w:uiPriority w:val="9"/>
    <w:semiHidden/>
    <w:unhideWhenUsed/>
    <w:qFormat/>
    <w:pPr>
      <w:spacing w:before="40" w:after="0"/>
      <w:jc w:val="left"/>
      <w:outlineLvl w:val="4"/>
    </w:pPr>
    <w:rPr>
      <w:i/>
      <w:iCs/>
      <w:sz w:val="22"/>
      <w:szCs w:val="22"/>
    </w:rPr>
  </w:style>
  <w:style w:type="paragraph" w:styleId="Heading6">
    <w:name w:val="heading 6"/>
    <w:basedOn w:val="Normal"/>
    <w:next w:val="Normal"/>
    <w:uiPriority w:val="9"/>
    <w:semiHidden/>
    <w:unhideWhenUsed/>
    <w:qFormat/>
    <w:pPr>
      <w:spacing w:before="240" w:after="60"/>
      <w:outlineLvl w:val="5"/>
    </w:pPr>
    <w:rPr>
      <w:rFonts w:ascii="Arial" w:eastAsia="Arial" w:hAnsi="Arial" w:cs="Arial"/>
      <w:i/>
      <w:iCs/>
      <w:sz w:val="22"/>
      <w:szCs w:val="22"/>
    </w:rPr>
  </w:style>
  <w:style w:type="paragraph" w:styleId="Heading7">
    <w:name w:val="heading 7"/>
    <w:basedOn w:val="Normal"/>
    <w:next w:val="Normal"/>
    <w:qFormat/>
    <w:pPr>
      <w:numPr>
        <w:ilvl w:val="6"/>
        <w:numId w:val="1"/>
      </w:numPr>
      <w:spacing w:before="240" w:after="60"/>
      <w:outlineLvl w:val="6"/>
    </w:pPr>
    <w:rPr>
      <w:rFonts w:ascii="Arial" w:hAnsi="Arial"/>
    </w:rPr>
  </w:style>
  <w:style w:type="paragraph" w:styleId="Heading8">
    <w:name w:val="heading 8"/>
    <w:basedOn w:val="Normal"/>
    <w:next w:val="Normal"/>
    <w:qFormat/>
    <w:pPr>
      <w:numPr>
        <w:ilvl w:val="7"/>
        <w:numId w:val="1"/>
      </w:numPr>
      <w:spacing w:before="240" w:after="60"/>
      <w:outlineLvl w:val="7"/>
    </w:pPr>
    <w:rPr>
      <w:rFonts w:ascii="Arial" w:hAnsi="Arial"/>
      <w:i/>
    </w:rPr>
  </w:style>
  <w:style w:type="paragraph" w:styleId="Heading9">
    <w:name w:val="heading 9"/>
    <w:basedOn w:val="Normal"/>
    <w:next w:val="Normal"/>
    <w:qFormat/>
    <w:pPr>
      <w:numPr>
        <w:ilvl w:val="8"/>
        <w:numId w:val="1"/>
      </w:num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styleId="FootnoteReference">
    <w:name w:val="footnote reference"/>
    <w:semiHidden/>
    <w:rPr>
      <w:rFonts w:ascii="Times New Roman" w:hAnsi="Times New Roman"/>
      <w:sz w:val="18"/>
      <w:vertAlign w:val="superscript"/>
    </w:rPr>
  </w:style>
  <w:style w:type="paragraph" w:customStyle="1" w:styleId="Author">
    <w:name w:val="Author"/>
    <w:basedOn w:val="Normal"/>
    <w:pPr>
      <w:jc w:val="center"/>
    </w:pPr>
    <w:rPr>
      <w:rFonts w:ascii="Helvetica" w:hAnsi="Helvetica"/>
      <w:sz w:val="24"/>
    </w:rPr>
  </w:style>
  <w:style w:type="paragraph" w:customStyle="1" w:styleId="Paper-Title">
    <w:name w:val="Paper-Title"/>
    <w:basedOn w:val="Normal"/>
    <w:pPr>
      <w:spacing w:after="120"/>
      <w:jc w:val="center"/>
    </w:pPr>
    <w:rPr>
      <w:rFonts w:ascii="Helvetica" w:hAnsi="Helvetica"/>
      <w:b/>
      <w:sz w:val="36"/>
    </w:rPr>
  </w:style>
  <w:style w:type="paragraph" w:customStyle="1" w:styleId="Affiliations">
    <w:name w:val="Affiliations"/>
    <w:basedOn w:val="Normal"/>
    <w:pPr>
      <w:jc w:val="center"/>
    </w:pPr>
    <w:rPr>
      <w:rFonts w:ascii="Helvetica" w:hAnsi="Helvetica"/>
      <w:sz w:val="20"/>
    </w:rPr>
  </w:style>
  <w:style w:type="paragraph" w:styleId="FootnoteText">
    <w:name w:val="footnote text"/>
    <w:basedOn w:val="Normal"/>
    <w:semiHidden/>
    <w:pPr>
      <w:ind w:left="144" w:hanging="144"/>
    </w:pPr>
  </w:style>
  <w:style w:type="paragraph" w:customStyle="1" w:styleId="Bullet">
    <w:name w:val="Bullet"/>
    <w:basedOn w:val="Normal"/>
    <w:pPr>
      <w:ind w:left="144" w:hanging="144"/>
    </w:pPr>
  </w:style>
  <w:style w:type="paragraph" w:styleId="Footer">
    <w:name w:val="footer"/>
    <w:basedOn w:val="Normal"/>
    <w:pPr>
      <w:tabs>
        <w:tab w:val="center" w:pos="4320"/>
        <w:tab w:val="right" w:pos="8640"/>
      </w:tabs>
    </w:pPr>
  </w:style>
  <w:style w:type="paragraph" w:customStyle="1" w:styleId="E-Mail">
    <w:name w:val="E-Mail"/>
    <w:basedOn w:val="Author"/>
    <w:pPr>
      <w:spacing w:after="60"/>
    </w:pPr>
  </w:style>
  <w:style w:type="paragraph" w:customStyle="1" w:styleId="Abstract">
    <w:name w:val="Abstract"/>
    <w:basedOn w:val="Heading1"/>
    <w:pPr>
      <w:spacing w:before="0" w:after="120"/>
      <w:jc w:val="both"/>
      <w:outlineLvl w:val="9"/>
    </w:pPr>
    <w:rPr>
      <w:b w:val="0"/>
      <w:sz w:val="18"/>
    </w:rPr>
  </w:style>
  <w:style w:type="paragraph" w:styleId="ListNumber3">
    <w:name w:val="List Number 3"/>
    <w:basedOn w:val="Normal"/>
    <w:pPr>
      <w:ind w:left="1080" w:hanging="360"/>
    </w:pPr>
  </w:style>
  <w:style w:type="paragraph" w:customStyle="1" w:styleId="Captions">
    <w:name w:val="Captions"/>
    <w:basedOn w:val="Normal"/>
    <w:pPr>
      <w:framePr w:w="4680" w:h="2160" w:hRule="exact" w:hSpace="187" w:wrap="around" w:hAnchor="text" w:yAlign="bottom"/>
      <w:jc w:val="center"/>
    </w:pPr>
    <w:rPr>
      <w:b/>
    </w:rPr>
  </w:style>
  <w:style w:type="paragraph" w:customStyle="1" w:styleId="References">
    <w:name w:val="References"/>
    <w:basedOn w:val="Normal"/>
    <w:pPr>
      <w:numPr>
        <w:numId w:val="2"/>
      </w:numPr>
      <w:jc w:val="left"/>
    </w:pPr>
  </w:style>
  <w:style w:type="character" w:styleId="PageNumber">
    <w:name w:val="page number"/>
    <w:basedOn w:val="DefaultParagraphFont"/>
  </w:style>
  <w:style w:type="paragraph" w:styleId="BodyTextIndent">
    <w:name w:val="Body Text Indent"/>
    <w:basedOn w:val="Normal"/>
    <w:pPr>
      <w:spacing w:after="0"/>
      <w:ind w:firstLine="360"/>
    </w:pPr>
  </w:style>
  <w:style w:type="paragraph" w:styleId="DocumentMap">
    <w:name w:val="Document Map"/>
    <w:basedOn w:val="Normal"/>
    <w:semiHidden/>
    <w:pPr>
      <w:shd w:val="clear" w:color="auto" w:fill="000080"/>
    </w:pPr>
    <w:rPr>
      <w:rFonts w:ascii="Tahoma" w:hAnsi="Tahoma" w:cs="Tahoma"/>
    </w:rPr>
  </w:style>
  <w:style w:type="paragraph" w:styleId="Caption">
    <w:name w:val="caption"/>
    <w:basedOn w:val="Normal"/>
    <w:next w:val="Normal"/>
    <w:uiPriority w:val="35"/>
    <w:qFormat/>
    <w:pPr>
      <w:jc w:val="center"/>
    </w:pPr>
    <w:rPr>
      <w:rFonts w:cs="Miriam"/>
      <w:b/>
      <w:bCs/>
      <w:lang w:eastAsia="en-AU"/>
    </w:rPr>
  </w:style>
  <w:style w:type="paragraph" w:styleId="BodyText">
    <w:name w:val="Body Text"/>
    <w:basedOn w:val="Normal"/>
    <w:pPr>
      <w:framePr w:w="4680" w:h="2112" w:hRule="exact" w:hSpace="187" w:wrap="around" w:vAnchor="page" w:hAnchor="page" w:x="1155" w:y="12245"/>
      <w:spacing w:after="0"/>
    </w:pPr>
    <w:rPr>
      <w:sz w:val="16"/>
    </w:rPr>
  </w:style>
  <w:style w:type="character" w:styleId="Hyperlink">
    <w:name w:val="Hyperlink"/>
    <w:rPr>
      <w:color w:val="0000FF"/>
      <w:u w:val="single"/>
    </w:rPr>
  </w:style>
  <w:style w:type="paragraph" w:styleId="Header">
    <w:name w:val="header"/>
    <w:basedOn w:val="Normal"/>
    <w:pPr>
      <w:tabs>
        <w:tab w:val="center" w:pos="4320"/>
        <w:tab w:val="right" w:pos="8640"/>
      </w:tabs>
    </w:pPr>
  </w:style>
  <w:style w:type="character" w:styleId="FollowedHyperlink">
    <w:name w:val="FollowedHyperlink"/>
    <w:rsid w:val="00C13CC7"/>
    <w:rPr>
      <w:color w:val="800080"/>
      <w:u w:val="single"/>
    </w:rPr>
  </w:style>
  <w:style w:type="character" w:customStyle="1" w:styleId="Heading2Char">
    <w:name w:val="Heading 2 Char"/>
    <w:basedOn w:val="DefaultParagraphFont"/>
    <w:link w:val="Heading2"/>
    <w:rsid w:val="00025A8E"/>
    <w:rPr>
      <w:b/>
      <w:kern w:val="28"/>
      <w:sz w:val="24"/>
      <w:lang w:eastAsia="en-US"/>
    </w:rPr>
  </w:style>
  <w:style w:type="paragraph" w:styleId="Subtitle">
    <w:name w:val="Subtitle"/>
    <w:basedOn w:val="Normal"/>
    <w:next w:val="Normal"/>
    <w:uiPriority w:val="11"/>
    <w:qFormat/>
    <w:pPr>
      <w:keepNext/>
      <w:keepLines/>
      <w:spacing w:before="36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journals.sagepub.com/doi/10.1177/16878132251410377" TargetMode="External"/><Relationship Id="rId18" Type="http://schemas.openxmlformats.org/officeDocument/2006/relationships/hyperlink" Target="https://www.sciencedirect.com/science/article/pii/S1367578809000546?"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sciencedirect.com/science/article/abs/pii/S0968090X15002326?via%3Dihub" TargetMode="External"/><Relationship Id="rId17" Type="http://schemas.openxmlformats.org/officeDocument/2006/relationships/hyperlink" Target="https://www.diva-portal.org/smash/record.jsf?pid=diva2:1008306" TargetMode="External"/><Relationship Id="rId2" Type="http://schemas.openxmlformats.org/officeDocument/2006/relationships/numbering" Target="numbering.xml"/><Relationship Id="rId16" Type="http://schemas.openxmlformats.org/officeDocument/2006/relationships/hyperlink" Target="https://www.diva-portal.org/smash/record.jsf?pid=diva2:1001726"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hk.se/engelska/the-swedish-accident-investigation-authority/search-investigation/rail/2024-02-19-derailment-of-freight-train-no-9914-at-malmbanan-norrbotten-county" TargetMode="External"/><Relationship Id="rId5" Type="http://schemas.openxmlformats.org/officeDocument/2006/relationships/webSettings" Target="webSettings.xml"/><Relationship Id="rId15" Type="http://schemas.openxmlformats.org/officeDocument/2006/relationships/hyperlink" Target="https://www.networkrail.co.uk/rail-travel/delays-explained/speed-restrictions/" TargetMode="External"/><Relationship Id="rId10" Type="http://schemas.openxmlformats.org/officeDocument/2006/relationships/hyperlink" Target="https://lkab.com/press/orsaken-till-stora-ursparningen-pa-malmbanan-faststalld/" TargetMode="Externa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europarl.europa.eu/RegData/etudes/STUD/2026/788125/EPRS_STU(2026)788125_EN.pdf" TargetMode="External"/><Relationship Id="rId14" Type="http://schemas.openxmlformats.org/officeDocument/2006/relationships/hyperlink" Target="https://link.springer.com/article/10.1007/s40534-026-00431-w"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uUgrTnl8fA7tOCSjTHWnungJQ==">CgMxLjAyD2lkLnl4MnAxa2o4Y3FqajIPaWQuYmwwNGx2dWN0MWphMg9pZC52c29rdm91OHNsc2EyD2lkLmpwaTZ5YzF6dTQ1MTgAciExUmtwdGhPLWdzY0IxemVmOWdYUlRDQTRwZzVlbU1GTmQ=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3</Pages>
  <Words>1793</Words>
  <Characters>9505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eMaintenance2010</dc:creator>
  <cp:lastModifiedBy>Viktor Lindberg</cp:lastModifiedBy>
  <cp:revision>4</cp:revision>
  <dcterms:created xsi:type="dcterms:W3CDTF">2025-09-04T09:42:00Z</dcterms:created>
  <dcterms:modified xsi:type="dcterms:W3CDTF">2026-09-27T13:31:00Z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0x010100933580D1C8EA284F9CC81273C3D81153</vt:lpwstr>
  </property>
  <property fmtid="{D5CDD505-2E9C-101B-9397-08002B2CF9AE}" pid="3" name="MediaServiceImageTags">
    <vt:lpwstr/>
  </property>
  <property fmtid="{D5CDD505-2E9C-101B-9397-08002B2CF9AE}" pid="4" name="GrammarlyDocumentId">
    <vt:lpwstr>1be8b635-293b-48ae-a955-8e634a071dc8</vt:lpwstr>
  </property>
</Properties>
</file>