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целевые-критерии-качества-работы-цпт"/>
    <w:p>
      <w:pPr>
        <w:pStyle w:val="Heading2"/>
      </w:pPr>
      <w:r>
        <w:t xml:space="preserve">Целевые критерии качества работы ЦПТ</w:t>
      </w:r>
    </w:p>
    <w:bookmarkStart w:id="20" w:name="общая-логика-проверки"/>
    <w:p>
      <w:pPr>
        <w:pStyle w:val="Heading3"/>
      </w:pPr>
      <w:r>
        <w:t xml:space="preserve">Общая логика проверки</w:t>
      </w:r>
    </w:p>
    <w:p>
      <w:pPr>
        <w:pStyle w:val="FirstParagraph"/>
      </w:pPr>
      <w:r>
        <w:t xml:space="preserve">Качество работы ЦПТ проверяется в два этапа: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Качество декомпозиции источников на атомарные требования</w:t>
      </w:r>
      <w:r>
        <w:br/>
      </w:r>
      <w:r>
        <w:t xml:space="preserve">Проверяется, насколько корректно ЦПТ выделяет требования из исходных источников, определяет их границы, консолидирует одинаковые требования из разных источников и сохраняет трассировку до источника.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Качество генерации тест-кейсов по атомарным требованиям</w:t>
      </w:r>
      <w:r>
        <w:br/>
      </w:r>
      <w:r>
        <w:t xml:space="preserve">Проверяется, насколько корректно ЦПТ генерирует тест-кейсы по требованиям, покрывает требования, соблюдает шаблон, корректно классифицирует ТК и не добавляет неподтвержденные детали.</w:t>
      </w:r>
    </w:p>
    <w:p>
      <w:pPr>
        <w:pStyle w:val="FirstParagraph"/>
      </w:pPr>
      <w:r>
        <w:t xml:space="preserve">Для эталонного ТЗ на 30.06 применяется порог</w:t>
      </w:r>
      <w:r>
        <w:t xml:space="preserve"> </w:t>
      </w:r>
      <w:r>
        <w:rPr>
          <w:b/>
          <w:bCs/>
        </w:rPr>
        <w:t xml:space="preserve">100%</w:t>
      </w:r>
      <w:r>
        <w:t xml:space="preserve">.</w:t>
      </w:r>
      <w:r>
        <w:br/>
      </w:r>
      <w:r>
        <w:t xml:space="preserve">Для расширенного датасета и корнер-кейсов применяется порог</w:t>
      </w:r>
      <w:r>
        <w:t xml:space="preserve"> </w:t>
      </w:r>
      <w:r>
        <w:rPr>
          <w:b/>
          <w:bCs/>
        </w:rPr>
        <w:t xml:space="preserve">не менее 95%</w:t>
      </w:r>
      <w:r>
        <w:t xml:space="preserve">.</w:t>
      </w:r>
    </w:p>
    <w:p>
      <w:pPr>
        <w:pStyle w:val="BodyText"/>
      </w:pPr>
      <w:r>
        <w:t xml:space="preserve">Требования со статусом</w:t>
      </w:r>
      <w:r>
        <w:t xml:space="preserve"> </w:t>
      </w:r>
      <w:r>
        <w:rPr>
          <w:rStyle w:val="VerbatimChar"/>
        </w:rPr>
        <w:t xml:space="preserve">insufficient_detail</w:t>
      </w:r>
      <w:r>
        <w:t xml:space="preserve"> </w:t>
      </w:r>
      <w:r>
        <w:t xml:space="preserve">исключаются из расчета покрытия тест-кейсами, так как они не должны приводить к генерации ТК с додуманными деталями.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38fc4306bd76c827646dc9fe8e0b78714c8d142"/>
    <w:p>
      <w:pPr>
        <w:pStyle w:val="Heading2"/>
      </w:pPr>
      <w:r>
        <w:t xml:space="preserve">1. Качество декомпозиции источников на атомарные требования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Метод проверки</w:t>
            </w:r>
          </w:p>
        </w:tc>
        <w:tc>
          <w:tcPr/>
          <w:p>
            <w:pPr>
              <w:pStyle w:val="Compact"/>
            </w:pPr>
            <w:r>
              <w:t xml:space="preserve">Метрика / порог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Полнота выделения атомарных требований</w:t>
            </w:r>
          </w:p>
        </w:tc>
        <w:tc>
          <w:tcPr/>
          <w:p>
            <w:pPr>
              <w:pStyle w:val="Compact"/>
            </w:pPr>
            <w:r>
              <w:t xml:space="preserve">Перечень требований, выделенных ЦПТ, сравнивается с эталонным перечнем атомарных требований</w:t>
            </w:r>
          </w:p>
        </w:tc>
        <w:tc>
          <w:tcPr/>
          <w:p>
            <w:pPr>
              <w:pStyle w:val="Compact"/>
            </w:pPr>
            <w:r>
              <w:t xml:space="preserve">Для эталонного ТЗ 30.06 — 100%. Для расширенного датасета — не менее 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Корректность границ требований</w:t>
            </w:r>
          </w:p>
        </w:tc>
        <w:tc>
          <w:tcPr/>
          <w:p>
            <w:pPr>
              <w:pStyle w:val="Compact"/>
            </w:pPr>
            <w:r>
              <w:t xml:space="preserve">Проверяется, что разные требования не объединяются в одно, а одно требование не дробится на несколько без необходимости</w:t>
            </w:r>
          </w:p>
        </w:tc>
        <w:tc>
          <w:tcPr/>
          <w:p>
            <w:pPr>
              <w:pStyle w:val="Compact"/>
            </w:pPr>
            <w:r>
              <w:t xml:space="preserve">Границы требований должны соответствовать эталонной разметке. Ошибки границ не засчитываются как корректно выделенные требования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Консолидация требований из разных источников</w:t>
            </w:r>
          </w:p>
        </w:tc>
        <w:tc>
          <w:tcPr/>
          <w:p>
            <w:pPr>
              <w:pStyle w:val="Compact"/>
            </w:pPr>
            <w:r>
              <w:t xml:space="preserve">Проверяется, что информация по одному и тому же требованию, найденная в разных источниках, объединяется, а не создает дубли</w:t>
            </w:r>
          </w:p>
        </w:tc>
        <w:tc>
          <w:tcPr/>
          <w:p>
            <w:pPr>
              <w:pStyle w:val="Compact"/>
            </w:pPr>
            <w:r>
              <w:t xml:space="preserve">Дубли требований не допускаются. Консолидация должна соответствовать эталонной разметке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Автоматическое определение недостаточно детализированных требований</w:t>
            </w:r>
          </w:p>
        </w:tc>
        <w:tc>
          <w:tcPr/>
          <w:p>
            <w:pPr>
              <w:pStyle w:val="Compact"/>
            </w:pPr>
            <w:r>
              <w:t xml:space="preserve">ЦПТ анализирует атомарное требование и определяет, достаточно ли информации для генерации корректных ТК без додумывания отсутствующих деталей</w:t>
            </w:r>
          </w:p>
        </w:tc>
        <w:tc>
          <w:tcPr/>
          <w:p>
            <w:pPr>
              <w:pStyle w:val="Compact"/>
            </w:pPr>
            <w:r>
              <w:t xml:space="preserve">Требования, по которым недостаточно данных для генерации, должны быть автоматически помечены статусом</w:t>
            </w:r>
            <w:r>
              <w:t xml:space="preserve"> </w:t>
            </w:r>
            <w:r>
              <w:rPr>
                <w:rStyle w:val="VerbatimChar"/>
              </w:rPr>
              <w:t xml:space="preserve">insufficient_detail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Корректность определения статуса</w:t>
            </w:r>
            <w:r>
              <w:t xml:space="preserve"> </w:t>
            </w:r>
            <w:r>
              <w:rPr>
                <w:rStyle w:val="VerbatimChar"/>
              </w:rPr>
              <w:t xml:space="preserve">insufficient_detail</w:t>
            </w:r>
          </w:p>
        </w:tc>
        <w:tc>
          <w:tcPr/>
          <w:p>
            <w:pPr>
              <w:pStyle w:val="Compact"/>
            </w:pPr>
            <w:r>
              <w:t xml:space="preserve">Статусы, определенные ЦПТ, сравниваются с экспертной разметкой эталонного датасета</w:t>
            </w:r>
          </w:p>
        </w:tc>
        <w:tc>
          <w:tcPr/>
          <w:p>
            <w:pPr>
              <w:pStyle w:val="Compact"/>
            </w:pPr>
            <w:r>
              <w:t xml:space="preserve">Для эталонного ТЗ 30.06 — 100%. Для расширенного датасета — не менее 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Трассировка требования до источника</w:t>
            </w:r>
          </w:p>
        </w:tc>
        <w:tc>
          <w:tcPr/>
          <w:p>
            <w:pPr>
              <w:pStyle w:val="Compact"/>
            </w:pPr>
            <w:r>
              <w:t xml:space="preserve">Проверяется, что для каждого атомарного требования сохранена связь с исходным источником, версией источника и фрагментом, из которого требование было выделено</w:t>
            </w:r>
          </w:p>
        </w:tc>
        <w:tc>
          <w:tcPr/>
          <w:p>
            <w:pPr>
              <w:pStyle w:val="Compact"/>
            </w:pPr>
            <w:r>
              <w:t xml:space="preserve">У каждого атомарного требования должна быть сохранена внутренняя связь с источником данных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d6d6de6426dd2d567e230dfe373af0eab73ab74"/>
    <w:p>
      <w:pPr>
        <w:pStyle w:val="Heading2"/>
      </w:pPr>
      <w:r>
        <w:t xml:space="preserve">2. Качество генерации тест-кейсов по атомарным требованиям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Метод проверки</w:t>
            </w:r>
          </w:p>
        </w:tc>
        <w:tc>
          <w:tcPr/>
          <w:p>
            <w:pPr>
              <w:pStyle w:val="Compact"/>
            </w:pPr>
            <w:r>
              <w:t xml:space="preserve">Метрика / порог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Покрытие атомарных требований тест-кейсами</w:t>
            </w:r>
          </w:p>
        </w:tc>
        <w:tc>
          <w:tcPr/>
          <w:p>
            <w:pPr>
              <w:pStyle w:val="Compact"/>
            </w:pPr>
            <w:r>
              <w:t xml:space="preserve">Для каждого атомарного требования, пригодного для генерации, проверяется наличие связанных с ним сгенерированных ТК</w:t>
            </w:r>
          </w:p>
        </w:tc>
        <w:tc>
          <w:tcPr/>
          <w:p>
            <w:pPr>
              <w:pStyle w:val="Compact"/>
            </w:pPr>
            <w:r>
              <w:t xml:space="preserve">Для эталонного ТЗ 30.06 — 100% пригодных требований должны быть корректно покрыты. Для расширенного датасета — не менее 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Полнота покрытия по требованию</w:t>
            </w:r>
          </w:p>
        </w:tc>
        <w:tc>
          <w:tcPr/>
          <w:p>
            <w:pPr>
              <w:pStyle w:val="Compact"/>
            </w:pPr>
            <w:r>
              <w:t xml:space="preserve">Для каждого атомарного требования проверяется наличие позитивного, негативного и иных обязательных проверок из эталона</w:t>
            </w:r>
          </w:p>
        </w:tc>
        <w:tc>
          <w:tcPr/>
          <w:p>
            <w:pPr>
              <w:pStyle w:val="Compact"/>
            </w:pPr>
            <w:r>
              <w:t xml:space="preserve">Требование считается корректно покрытым, если по нему есть необходимый набор ТК согласно эталону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Учет ТК, покрывающих несколько требований</w:t>
            </w:r>
          </w:p>
        </w:tc>
        <w:tc>
          <w:tcPr/>
          <w:p>
            <w:pPr>
              <w:pStyle w:val="Compact"/>
            </w:pPr>
            <w:r>
              <w:t xml:space="preserve">Если один ТК связан с несколькими атомарными требованиями, он учитывается в покрытии каждого связанного требования</w:t>
            </w:r>
          </w:p>
        </w:tc>
        <w:tc>
          <w:tcPr/>
          <w:p>
            <w:pPr>
              <w:pStyle w:val="Compact"/>
            </w:pPr>
            <w:r>
              <w:t xml:space="preserve">Каждый связанный ТК должен быть релевантен каждому требованию, к которому он привязан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Соответствие сгенерированных ТК эталону</w:t>
            </w:r>
          </w:p>
        </w:tc>
        <w:tc>
          <w:tcPr/>
          <w:p>
            <w:pPr>
              <w:pStyle w:val="Compact"/>
            </w:pPr>
            <w:r>
              <w:t xml:space="preserve">Сгенерированные ТК сравниваются с эталонными по полному составу: вид ТК, направление, обязательные проверки, предусловия, шаги, ожидаемые результаты, постусловия, обязательные атрибуты</w:t>
            </w:r>
          </w:p>
        </w:tc>
        <w:tc>
          <w:tcPr/>
          <w:p>
            <w:pPr>
              <w:pStyle w:val="Compact"/>
            </w:pPr>
            <w:r>
              <w:t xml:space="preserve">Сгенерированные ТК должны семантически и структурно соответствовать эталону. Дословное совпадение формулировок не требуется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Допустимость отличий от эталона</w:t>
            </w:r>
          </w:p>
        </w:tc>
        <w:tc>
          <w:tcPr/>
          <w:p>
            <w:pPr>
              <w:pStyle w:val="Compact"/>
            </w:pPr>
            <w:r>
              <w:t xml:space="preserve">Проверяется, что отличия не меняют смысл проверки</w:t>
            </w:r>
          </w:p>
        </w:tc>
        <w:tc>
          <w:tcPr/>
          <w:p>
            <w:pPr>
              <w:pStyle w:val="Compact"/>
            </w:pPr>
            <w:r>
              <w:t xml:space="preserve">Допускаются отличия в формулировках и последовательности шагов, если сохраняется проверяемое требование, покрываются обязательные проверки, не нарушается логика сценария и ожидаемые результаты соответствуют действиям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Дополнительные ТК сверх эталона</w:t>
            </w:r>
          </w:p>
        </w:tc>
        <w:tc>
          <w:tcPr/>
          <w:p>
            <w:pPr>
              <w:pStyle w:val="Compact"/>
            </w:pPr>
            <w:r>
              <w:t xml:space="preserve">Проверяются ТК, которые отсутствуют в эталонном наборе</w:t>
            </w:r>
          </w:p>
        </w:tc>
        <w:tc>
          <w:tcPr/>
          <w:p>
            <w:pPr>
              <w:pStyle w:val="Compact"/>
            </w:pPr>
            <w:r>
              <w:t xml:space="preserve">Дополнительные ТК допустимы только если они релевантны требованию, не дублируют эталонные ТК и не содержат фактов, отсутствующих в требованиях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Корректная классификация вида и направления ТК</w:t>
            </w:r>
          </w:p>
        </w:tc>
        <w:tc>
          <w:tcPr/>
          <w:p>
            <w:pPr>
              <w:pStyle w:val="Compact"/>
            </w:pPr>
            <w:r>
              <w:t xml:space="preserve">Для каждого ТК проверяется, что вид ТК соответствует содержанию шагов и ожидаемых результатов, а направление соответствует характеру входных данных и ожидаемого результата</w:t>
            </w:r>
          </w:p>
        </w:tc>
        <w:tc>
          <w:tcPr/>
          <w:p>
            <w:pPr>
              <w:pStyle w:val="Compact"/>
            </w:pPr>
            <w:r>
              <w:t xml:space="preserve">Вид ТК определяется по расширенной классификации: API, WEB, мобильный, интеграционный, E2E, функциональный, системный. Направление определяется отдельно: позитивный / негативный. Для эталонного ТЗ 30.06 — 100%, для расширенного датасета — не менее 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Соответствие шаблону и заполнение обязательных атрибутов</w:t>
            </w:r>
          </w:p>
        </w:tc>
        <w:tc>
          <w:tcPr/>
          <w:p>
            <w:pPr>
              <w:pStyle w:val="Compact"/>
            </w:pPr>
            <w:r>
              <w:t xml:space="preserve">Проверяется, что ТК сформирован по утвержденному шаблону, обязательные атрибуты заполнены, а структура ТК соответствует виду ТК</w:t>
            </w:r>
          </w:p>
        </w:tc>
        <w:tc>
          <w:tcPr/>
          <w:p>
            <w:pPr>
              <w:pStyle w:val="Compact"/>
            </w:pPr>
            <w:r>
              <w:t xml:space="preserve">Обязательные атрибуты должны быть заполнены. Структура ТК должна соответствовать утвержденному шаблону. Содержательное качество заполнения оценивается в рамках соответствия ТК эталону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Качество шагов</w:t>
            </w:r>
          </w:p>
        </w:tc>
        <w:tc>
          <w:tcPr/>
          <w:p>
            <w:pPr>
              <w:pStyle w:val="Compact"/>
            </w:pPr>
            <w:r>
              <w:t xml:space="preserve">Проверяется, что шаги сформулированы как действия, один шаг содержит одно действие, шаги достаточно конкретны и выполнимы</w:t>
            </w:r>
          </w:p>
        </w:tc>
        <w:tc>
          <w:tcPr/>
          <w:p>
            <w:pPr>
              <w:pStyle w:val="Compact"/>
            </w:pPr>
            <w:r>
              <w:t xml:space="preserve">Шаги должны быть однозначными, атомарными и выполнимыми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Качество ожидаемых результатов</w:t>
            </w:r>
          </w:p>
        </w:tc>
        <w:tc>
          <w:tcPr/>
          <w:p>
            <w:pPr>
              <w:pStyle w:val="Compact"/>
            </w:pPr>
            <w:r>
              <w:t xml:space="preserve">Проверяется, что у каждого шага есть ожидаемый результат, он проверяемый, конкретный и логически соответствует действию в шаге</w:t>
            </w:r>
          </w:p>
        </w:tc>
        <w:tc>
          <w:tcPr/>
          <w:p>
            <w:pPr>
              <w:pStyle w:val="Compact"/>
            </w:pPr>
            <w:r>
              <w:t xml:space="preserve">У каждого шага должен быть ожидаемый результат. Ожидаемый результат должен соответствовать шагу и быть проверяемым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Предусловия и постусловия</w:t>
            </w:r>
          </w:p>
        </w:tc>
        <w:tc>
          <w:tcPr/>
          <w:p>
            <w:pPr>
              <w:pStyle w:val="Compact"/>
            </w:pPr>
            <w:r>
              <w:t xml:space="preserve">Проверяется, что предусловия описывают состояние системы до начала сценария, а постусловия не содержат шаги и описывают состояние после выполнения ТК</w:t>
            </w:r>
          </w:p>
        </w:tc>
        <w:tc>
          <w:tcPr/>
          <w:p>
            <w:pPr>
              <w:pStyle w:val="Compact"/>
            </w:pPr>
            <w:r>
              <w:t xml:space="preserve">Предусловия и постусловия должны соответствовать требованию и эталонному ТК, если они применимы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Отсутствие галлюцинаций и необоснованной конкретизации</w:t>
            </w:r>
          </w:p>
        </w:tc>
        <w:tc>
          <w:tcPr/>
          <w:p>
            <w:pPr>
              <w:pStyle w:val="Compact"/>
            </w:pPr>
            <w:r>
              <w:t xml:space="preserve">Проверяется, что ТК не содержит фактов, ролей, UI-элементов, URL, endpoint, текстов ошибок, кодов ответов, ограничений или иных деталей, отсутствующих в требованиях и не следующих однозначно из контекста</w:t>
            </w:r>
          </w:p>
        </w:tc>
        <w:tc>
          <w:tcPr/>
          <w:p>
            <w:pPr>
              <w:pStyle w:val="Compact"/>
            </w:pPr>
            <w:r>
              <w:t xml:space="preserve">Галлюцинации и необоснованная конкретизация не допускаются. ТК с таким нарушением не засчитывается как корректное покрытие атомарного требования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Обработка требований</w:t>
            </w:r>
            <w:r>
              <w:t xml:space="preserve"> </w:t>
            </w:r>
            <w:r>
              <w:rPr>
                <w:rStyle w:val="VerbatimChar"/>
              </w:rPr>
              <w:t xml:space="preserve">insufficient_detail</w:t>
            </w:r>
          </w:p>
        </w:tc>
        <w:tc>
          <w:tcPr/>
          <w:p>
            <w:pPr>
              <w:pStyle w:val="Compact"/>
            </w:pPr>
            <w:r>
              <w:t xml:space="preserve">Проверяется, что по требованиям с недостаточной детализацией ЦПТ не генерирует ТК с додуманными деталями</w:t>
            </w:r>
          </w:p>
        </w:tc>
        <w:tc>
          <w:tcPr/>
          <w:p>
            <w:pPr>
              <w:pStyle w:val="Compact"/>
            </w:pPr>
            <w:r>
              <w:t xml:space="preserve">Требования</w:t>
            </w:r>
            <w:r>
              <w:t xml:space="preserve"> </w:t>
            </w:r>
            <w:r>
              <w:rPr>
                <w:rStyle w:val="VerbatimChar"/>
              </w:rPr>
              <w:t xml:space="preserve">insufficient_detail</w:t>
            </w:r>
            <w:r>
              <w:t xml:space="preserve"> </w:t>
            </w:r>
            <w:r>
              <w:t xml:space="preserve">исключаются из расчета покрытия ТК. По ним не требуется генерировать ТК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внутренняя-трассировка-и-metadata"/>
    <w:p>
      <w:pPr>
        <w:pStyle w:val="Heading2"/>
      </w:pPr>
      <w:r>
        <w:t xml:space="preserve">3. Внутренняя трассировка и metadata</w:t>
      </w:r>
    </w:p>
    <w:p>
      <w:pPr>
        <w:pStyle w:val="FirstParagraph"/>
      </w:pPr>
      <w:r>
        <w:t xml:space="preserve">ЦПТ должен сохранять внутреннюю трассировку генерации:</w:t>
      </w:r>
    </w:p>
    <w:p>
      <w:pPr>
        <w:pStyle w:val="SourceCode"/>
      </w:pPr>
      <w:r>
        <w:rPr>
          <w:rStyle w:val="VerbatimChar"/>
        </w:rPr>
        <w:t xml:space="preserve">источник → атомарное требование → статус требования → сгенерированные ТК</w:t>
      </w:r>
    </w:p>
    <w:p>
      <w:pPr>
        <w:pStyle w:val="FirstParagraph"/>
      </w:pPr>
      <w:r>
        <w:t xml:space="preserve">Отображение атомарных требований пользователю в интерфейсе на текущем этапе не требуется.</w:t>
      </w:r>
    </w:p>
    <w:p>
      <w:pPr>
        <w:pStyle w:val="BodyText"/>
      </w:pPr>
      <w:r>
        <w:t xml:space="preserve">При этом должна быть предусмотрена служебная ручка / API для получения:</w:t>
      </w:r>
    </w:p>
    <w:p>
      <w:pPr>
        <w:pStyle w:val="Compact"/>
        <w:numPr>
          <w:ilvl w:val="0"/>
          <w:numId w:val="1002"/>
        </w:numPr>
      </w:pPr>
      <w:r>
        <w:t xml:space="preserve">перечня атомарных требований, выделенных в рамках конкретного запуска генерации;</w:t>
      </w:r>
    </w:p>
    <w:p>
      <w:pPr>
        <w:pStyle w:val="Compact"/>
        <w:numPr>
          <w:ilvl w:val="0"/>
          <w:numId w:val="1002"/>
        </w:numPr>
      </w:pPr>
      <w:r>
        <w:t xml:space="preserve">статусов атомарных требований;</w:t>
      </w:r>
    </w:p>
    <w:p>
      <w:pPr>
        <w:pStyle w:val="Compact"/>
        <w:numPr>
          <w:ilvl w:val="0"/>
          <w:numId w:val="1002"/>
        </w:numPr>
      </w:pPr>
      <w:r>
        <w:t xml:space="preserve">связей между атомарными требованиями и сгенерированными ТК.</w:t>
      </w:r>
    </w:p>
    <w:p>
      <w:pPr>
        <w:pStyle w:val="FirstParagraph"/>
      </w:pPr>
      <w:r>
        <w:t xml:space="preserve">Минимальный состав metadata по атомарному требованию: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generationRunId</w:t>
            </w:r>
          </w:p>
        </w:tc>
        <w:tc>
          <w:tcPr/>
          <w:p>
            <w:pPr>
              <w:pStyle w:val="Compact"/>
            </w:pPr>
            <w:r>
              <w:t xml:space="preserve">ID запуска генерации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atomicRequirementId</w:t>
            </w:r>
          </w:p>
        </w:tc>
        <w:tc>
          <w:tcPr/>
          <w:p>
            <w:pPr>
              <w:pStyle w:val="Compact"/>
            </w:pPr>
            <w:r>
              <w:t xml:space="preserve">Внутренний ID атомарного требования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requirementText</w:t>
            </w:r>
          </w:p>
        </w:tc>
        <w:tc>
          <w:tcPr/>
          <w:p>
            <w:pPr>
              <w:pStyle w:val="Compact"/>
            </w:pPr>
            <w:r>
              <w:t xml:space="preserve">Текст атомарного требования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requirementStatus</w:t>
            </w:r>
          </w:p>
        </w:tc>
        <w:tc>
          <w:tcPr/>
          <w:p>
            <w:pPr>
              <w:pStyle w:val="Compact"/>
            </w:pPr>
            <w:r>
              <w:t xml:space="preserve">Статус требования:</w:t>
            </w:r>
            <w:r>
              <w:t xml:space="preserve"> </w:t>
            </w:r>
            <w:r>
              <w:rPr>
                <w:rStyle w:val="VerbatimChar"/>
              </w:rPr>
              <w:t xml:space="preserve">ready_for_generation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covered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partially_covered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insufficient_detail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not_covered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excluded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sourceType</w:t>
            </w:r>
          </w:p>
        </w:tc>
        <w:tc>
          <w:tcPr/>
          <w:p>
            <w:pPr>
              <w:pStyle w:val="Compact"/>
            </w:pPr>
            <w:r>
              <w:t xml:space="preserve">Тип источника: Документы, Знания, Задачи, Реестр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sourceId</w:t>
            </w:r>
          </w:p>
        </w:tc>
        <w:tc>
          <w:tcPr/>
          <w:p>
            <w:pPr>
              <w:pStyle w:val="Compact"/>
            </w:pPr>
            <w:r>
              <w:t xml:space="preserve">ID исходного объекта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sourceVersion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updatedAt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hash</w:t>
            </w:r>
          </w:p>
        </w:tc>
        <w:tc>
          <w:tcPr/>
          <w:p>
            <w:pPr>
              <w:pStyle w:val="Compact"/>
            </w:pPr>
            <w:r>
              <w:t xml:space="preserve">Версия источника, по которой выполнялась генерация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sourceFragmentRef</w:t>
            </w:r>
          </w:p>
        </w:tc>
        <w:tc>
          <w:tcPr/>
          <w:p>
            <w:pPr>
              <w:pStyle w:val="Compact"/>
            </w:pPr>
            <w:r>
              <w:t xml:space="preserve">Ссылка на раздел, страницу, фрагмент или позицию в источнике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linkedTestCaseIds</w:t>
            </w:r>
          </w:p>
        </w:tc>
        <w:tc>
          <w:tcPr/>
          <w:p>
            <w:pPr>
              <w:pStyle w:val="Compact"/>
            </w:pPr>
            <w:r>
              <w:t xml:space="preserve">Список ТК, связанных с атомарным требованием</w:t>
            </w:r>
          </w:p>
        </w:tc>
      </w:tr>
    </w:tbl>
    <w:p>
      <w:pPr>
        <w:pStyle w:val="BodyText"/>
      </w:pPr>
      <w:r>
        <w:t xml:space="preserve">Минимальный состав metadata по тест-кейсу: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testCaseId</w:t>
            </w:r>
          </w:p>
        </w:tc>
        <w:tc>
          <w:tcPr/>
          <w:p>
            <w:pPr>
              <w:pStyle w:val="Compact"/>
            </w:pPr>
            <w:r>
              <w:t xml:space="preserve">ID сгенерированного ТК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generationRunId</w:t>
            </w:r>
          </w:p>
        </w:tc>
        <w:tc>
          <w:tcPr/>
          <w:p>
            <w:pPr>
              <w:pStyle w:val="Compact"/>
            </w:pPr>
            <w:r>
              <w:t xml:space="preserve">ID запуска генерации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linkedRequirementIds</w:t>
            </w:r>
          </w:p>
        </w:tc>
        <w:tc>
          <w:tcPr/>
          <w:p>
            <w:pPr>
              <w:pStyle w:val="Compact"/>
            </w:pPr>
            <w:r>
              <w:t xml:space="preserve">Список атомарных требований, которые покрывает ТК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testCaseType</w:t>
            </w:r>
          </w:p>
        </w:tc>
        <w:tc>
          <w:tcPr/>
          <w:p>
            <w:pPr>
              <w:pStyle w:val="Compact"/>
            </w:pPr>
            <w:r>
              <w:t xml:space="preserve">Вид ТК: API, WEB, мобильный, интеграционный, E2E, функциональный, системный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Направление: позитивный / негативный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promptVersion</w:t>
            </w:r>
          </w:p>
        </w:tc>
        <w:tc>
          <w:tcPr/>
          <w:p>
            <w:pPr>
              <w:pStyle w:val="Compact"/>
            </w:pPr>
            <w:r>
              <w:t xml:space="preserve">Версия промпта / шаблона генерации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modelVersion</w:t>
            </w:r>
          </w:p>
        </w:tc>
        <w:tc>
          <w:tcPr/>
          <w:p>
            <w:pPr>
              <w:pStyle w:val="Compact"/>
            </w:pPr>
            <w:r>
              <w:t xml:space="preserve">Версия модели / конфигурации LLM</w:t>
            </w:r>
          </w:p>
        </w:tc>
      </w:tr>
    </w:tbl>
    <w:p>
      <w:pPr>
        <w:pStyle w:val="BodyText"/>
      </w:pPr>
      <w:r>
        <w:t xml:space="preserve">Связь между ТК и требованиями допускается как многие-ко-многим:</w:t>
      </w:r>
    </w:p>
    <w:p>
      <w:pPr>
        <w:pStyle w:val="Compact"/>
        <w:numPr>
          <w:ilvl w:val="0"/>
          <w:numId w:val="1003"/>
        </w:numPr>
      </w:pPr>
      <w:r>
        <w:t xml:space="preserve">один ТК может покрывать несколько атомарных требований;</w:t>
      </w:r>
    </w:p>
    <w:p>
      <w:pPr>
        <w:pStyle w:val="Compact"/>
        <w:numPr>
          <w:ilvl w:val="0"/>
          <w:numId w:val="1003"/>
        </w:numPr>
      </w:pPr>
      <w:r>
        <w:t xml:space="preserve">одно атомарное требование может покрываться несколькими ТК.</w:t>
      </w:r>
    </w:p>
    <w:p>
      <w:r>
        <w:pict>
          <v:rect style="width:0;height:1.5pt" o:hralign="center" o:hrstd="t" o:hr="t"/>
        </w:pict>
      </w:r>
    </w:p>
    <w:bookmarkEnd w:id="24"/>
    <w:bookmarkStart w:id="25" w:name="расчет-покрытия"/>
    <w:p>
      <w:pPr>
        <w:pStyle w:val="Heading2"/>
      </w:pPr>
      <w:r>
        <w:t xml:space="preserve">4. Расчет покрытия</w:t>
      </w:r>
    </w:p>
    <w:p>
      <w:pPr>
        <w:pStyle w:val="FirstParagraph"/>
      </w:pPr>
      <w:r>
        <w:t xml:space="preserve">В расчет покрытия ТК включаются только требования, пригодные для генерации.</w:t>
      </w:r>
    </w:p>
    <w:p>
      <w:pPr>
        <w:pStyle w:val="BodyText"/>
      </w:pPr>
      <w:r>
        <w:t xml:space="preserve">Из знаменателя исключаются:</w:t>
      </w:r>
    </w:p>
    <w:p>
      <w:pPr>
        <w:pStyle w:val="Compact"/>
        <w:numPr>
          <w:ilvl w:val="0"/>
          <w:numId w:val="1004"/>
        </w:numPr>
      </w:pPr>
      <w:r>
        <w:t xml:space="preserve">требования со статусом</w:t>
      </w:r>
      <w:r>
        <w:t xml:space="preserve"> </w:t>
      </w:r>
      <w:r>
        <w:rPr>
          <w:rStyle w:val="VerbatimChar"/>
        </w:rPr>
        <w:t xml:space="preserve">insufficient_detail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требования, исключенные из генерации по согласованным правилам;</w:t>
      </w:r>
    </w:p>
    <w:p>
      <w:pPr>
        <w:pStyle w:val="Compact"/>
        <w:numPr>
          <w:ilvl w:val="0"/>
          <w:numId w:val="1004"/>
        </w:numPr>
      </w:pPr>
      <w:r>
        <w:t xml:space="preserve">требования, не относящиеся к проверяемому скоупу.</w:t>
      </w:r>
    </w:p>
    <w:p>
      <w:pPr>
        <w:pStyle w:val="FirstParagraph"/>
      </w:pPr>
      <w:r>
        <w:t xml:space="preserve">Формула:</w:t>
      </w:r>
    </w:p>
    <w:p>
      <w:pPr>
        <w:pStyle w:val="SourceCode"/>
      </w:pPr>
      <w:r>
        <w:rPr>
          <w:rStyle w:val="VerbatimChar"/>
        </w:rPr>
        <w:t xml:space="preserve">Покрытие ТК = количество корректно покрытых требований / количество требований, пригодных для генерации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Всего выделено атомарных требований: 100</w:t>
      </w:r>
      <w:r>
        <w:br/>
      </w:r>
      <w:r>
        <w:rPr>
          <w:rStyle w:val="VerbatimChar"/>
        </w:rPr>
        <w:t xml:space="preserve">Недостаточно детализированы: 10</w:t>
      </w:r>
      <w:r>
        <w:br/>
      </w:r>
      <w:r>
        <w:rPr>
          <w:rStyle w:val="VerbatimChar"/>
        </w:rPr>
        <w:t xml:space="preserve">Исключены из генерации: 5</w:t>
      </w:r>
      <w:r>
        <w:br/>
      </w:r>
      <w:r>
        <w:rPr>
          <w:rStyle w:val="VerbatimChar"/>
        </w:rPr>
        <w:t xml:space="preserve">Пригодны для генерации: 85</w:t>
      </w:r>
      <w:r>
        <w:br/>
      </w:r>
      <w:r>
        <w:br/>
      </w:r>
      <w:r>
        <w:rPr>
          <w:rStyle w:val="VerbatimChar"/>
        </w:rPr>
        <w:t xml:space="preserve">Корректно покрыто ТК: 81</w:t>
      </w:r>
      <w:r>
        <w:br/>
      </w:r>
      <w:r>
        <w:rPr>
          <w:rStyle w:val="VerbatimChar"/>
        </w:rPr>
        <w:t xml:space="preserve">Покрытие = 81 / 85 = 95,3%</w:t>
      </w:r>
    </w:p>
    <w:p>
      <w:r>
        <w:pict>
          <v:rect style="width:0;height:1.5pt" o:hralign="center" o:hrstd="t" o:hr="t"/>
        </w:pict>
      </w:r>
    </w:p>
    <w:bookmarkEnd w:id="25"/>
    <w:bookmarkStart w:id="26" w:name="исключенные-из-текущей-оценки-критерии"/>
    <w:p>
      <w:pPr>
        <w:pStyle w:val="Heading2"/>
      </w:pPr>
      <w:r>
        <w:t xml:space="preserve">5. Исключенные из текущей оценки критерии</w:t>
      </w:r>
    </w:p>
    <w:p>
      <w:pPr>
        <w:pStyle w:val="FirstParagraph"/>
      </w:pPr>
      <w:r>
        <w:t xml:space="preserve">На текущем этапе из критериев оценки качества ЦПТ исключаются: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Критерий / поле</w:t>
            </w:r>
          </w:p>
        </w:tc>
        <w:tc>
          <w:tcPr/>
          <w:p>
            <w:pPr>
              <w:pStyle w:val="Compact"/>
            </w:pPr>
            <w:r>
              <w:t xml:space="preserve">Решение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Исключаем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Теги</w:t>
            </w:r>
          </w:p>
        </w:tc>
        <w:tc>
          <w:tcPr/>
          <w:p>
            <w:pPr>
              <w:pStyle w:val="Compact"/>
            </w:pPr>
            <w:r>
              <w:t xml:space="preserve">Исключаем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Расположение</w:t>
            </w:r>
          </w:p>
        </w:tc>
        <w:tc>
          <w:tcPr/>
          <w:p>
            <w:pPr>
              <w:pStyle w:val="Compact"/>
            </w:pPr>
            <w:r>
              <w:t xml:space="preserve">Исключаем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Статус автоматизации</w:t>
            </w:r>
          </w:p>
        </w:tc>
        <w:tc>
          <w:tcPr/>
          <w:p>
            <w:pPr>
              <w:pStyle w:val="Compact"/>
            </w:pPr>
            <w:r>
              <w:t xml:space="preserve">Исключаем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Регресс</w:t>
            </w:r>
          </w:p>
        </w:tc>
        <w:tc>
          <w:tcPr/>
          <w:p>
            <w:pPr>
              <w:pStyle w:val="Compact"/>
            </w:pPr>
            <w:r>
              <w:t xml:space="preserve">Исключаем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Маскирование чувствительных данных</w:t>
            </w:r>
          </w:p>
        </w:tc>
        <w:tc>
          <w:tcPr/>
          <w:p>
            <w:pPr>
              <w:pStyle w:val="Compact"/>
            </w:pPr>
            <w:r>
              <w:t xml:space="preserve">Исключаем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Неиспользуемые тест-кейсы</w:t>
            </w:r>
          </w:p>
        </w:tc>
        <w:tc>
          <w:tcPr/>
          <w:p>
            <w:pPr>
              <w:pStyle w:val="Compact"/>
            </w:pPr>
            <w:r>
              <w:t xml:space="preserve">Исключаем, так как это критерий качества библиотеки ТК, а не генерации ЦПТ</w:t>
            </w:r>
          </w:p>
        </w:tc>
      </w:tr>
    </w:tbl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2026-06-19T06:12:45Z</dcterms:created>
  <dcterms:modified xsi:type="dcterms:W3CDTF">2026-06-19T06:12:45Z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