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896CF" w14:textId="090140E2" w:rsidR="005353A8" w:rsidRDefault="00836FE1" w:rsidP="00836FE1">
      <w:pPr>
        <w:pStyle w:val="font-claude-response-body"/>
        <w:rPr>
          <w:b/>
          <w:bCs/>
          <w:sz w:val="28"/>
          <w:szCs w:val="28"/>
        </w:rPr>
      </w:pPr>
      <w:r w:rsidRPr="00836FE1">
        <w:rPr>
          <w:b/>
          <w:bCs/>
          <w:sz w:val="28"/>
          <w:szCs w:val="28"/>
        </w:rPr>
        <w:t xml:space="preserve">Hipótese 1: Os salários líquidos negativos continuam aparecendo neste novo mês? O comportamento de origem permanece atrelado à coluna de </w:t>
      </w:r>
      <w:proofErr w:type="spellStart"/>
      <w:r w:rsidRPr="00836FE1">
        <w:rPr>
          <w:b/>
          <w:bCs/>
          <w:sz w:val="28"/>
          <w:szCs w:val="28"/>
        </w:rPr>
        <w:t>pagamentos_eventuais?</w:t>
      </w:r>
      <w:proofErr w:type="spellEnd"/>
    </w:p>
    <w:p w14:paraId="352BCFBF" w14:textId="3D239687" w:rsidR="005353A8" w:rsidRDefault="00836FE1" w:rsidP="00836FE1">
      <w:pPr>
        <w:pStyle w:val="font-claude-response-body"/>
      </w:pPr>
      <w:r w:rsidRPr="00836FE1">
        <w:t>Sim, os salários negativos persistem nos dois meses, mas com intensidade bem diferente.</w:t>
      </w:r>
      <w:r w:rsidR="005353A8">
        <w:rPr>
          <w:b/>
          <w:bCs/>
          <w:sz w:val="28"/>
          <w:szCs w:val="28"/>
        </w:rPr>
        <w:br/>
      </w:r>
      <w:r w:rsidRPr="00836FE1">
        <w:t xml:space="preserve">Sim o comportamento permanece relativamente atrelado a coluna de </w:t>
      </w:r>
      <w:proofErr w:type="spellStart"/>
      <w:r w:rsidRPr="00836FE1">
        <w:t>pagamentos_eventuais</w:t>
      </w:r>
      <w:proofErr w:type="spellEnd"/>
      <w:r w:rsidRPr="00836FE1">
        <w:t>.</w:t>
      </w:r>
    </w:p>
    <w:p w14:paraId="195295BB" w14:textId="1EA6ECC9" w:rsidR="0044586B" w:rsidRDefault="0044586B" w:rsidP="0044586B">
      <w:pPr>
        <w:pStyle w:val="font-claude-response-body"/>
        <w:ind w:left="-510"/>
      </w:pPr>
      <w:r w:rsidRPr="0044586B">
        <w:drawing>
          <wp:inline distT="0" distB="0" distL="0" distR="0" wp14:anchorId="04D6AAF9" wp14:editId="6BC30D5F">
            <wp:extent cx="6921704" cy="34137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55050" cy="3430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4192" w14:textId="451C19BC" w:rsidR="005353A8" w:rsidRDefault="005353A8" w:rsidP="005353A8">
      <w:pPr>
        <w:pStyle w:val="font-claude-response-body"/>
        <w:rPr>
          <w:b/>
          <w:bCs/>
          <w:sz w:val="28"/>
          <w:szCs w:val="28"/>
        </w:rPr>
      </w:pPr>
      <w:r w:rsidRPr="005353A8">
        <w:rPr>
          <w:b/>
          <w:bCs/>
          <w:sz w:val="28"/>
          <w:szCs w:val="28"/>
        </w:rPr>
        <w:t>Hipótese 2: Ao calcular a correlação ou aplicar filtros de outliers (IQR), a estrutura do salário da maioria esmagadora dos servidores se estabiliza em torno do salário base?</w:t>
      </w:r>
    </w:p>
    <w:p w14:paraId="5AFEFFF3" w14:textId="0E2D81B5" w:rsidR="005353A8" w:rsidRPr="005353A8" w:rsidRDefault="005353A8" w:rsidP="005353A8">
      <w:pPr>
        <w:pStyle w:val="font-claude-response-body"/>
      </w:pPr>
      <w:r w:rsidRPr="005353A8">
        <w:t xml:space="preserve">Após isolar os eventos extraordinários, a estrutura de remuneração da maioria esmagadora dos servidores é previsível, centrada entre </w:t>
      </w:r>
      <w:r>
        <w:t xml:space="preserve">R$ </w:t>
      </w:r>
      <w:r w:rsidRPr="005353A8">
        <w:t xml:space="preserve">6.000,00 a </w:t>
      </w:r>
      <w:r>
        <w:t>R$</w:t>
      </w:r>
      <w:r w:rsidRPr="005353A8">
        <w:t xml:space="preserve">7.000,00 e dominada </w:t>
      </w:r>
      <w:r w:rsidRPr="005353A8">
        <w:t>pela renumeração</w:t>
      </w:r>
      <w:r w:rsidRPr="005353A8">
        <w:t xml:space="preserve"> do mês. </w:t>
      </w:r>
      <w:r w:rsidRPr="005353A8">
        <w:t>Entretanto</w:t>
      </w:r>
      <w:r w:rsidRPr="005353A8">
        <w:t xml:space="preserve"> mesmo após isolar ainda encontramos anomalias como o nosso caso máximo de </w:t>
      </w:r>
      <w:r w:rsidR="008D46F5">
        <w:t>R$</w:t>
      </w:r>
      <w:r w:rsidRPr="005353A8">
        <w:t>127.171,84.</w:t>
      </w:r>
    </w:p>
    <w:p w14:paraId="70D23E57" w14:textId="77777777" w:rsidR="008516D7" w:rsidRDefault="005353A8" w:rsidP="005F61B5">
      <w:pPr>
        <w:pStyle w:val="font-claude-response-body"/>
        <w:rPr>
          <w:b/>
          <w:bCs/>
          <w:sz w:val="28"/>
          <w:szCs w:val="28"/>
        </w:rPr>
      </w:pPr>
      <w:r w:rsidRPr="005353A8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2722043E" wp14:editId="4DB31BA1">
            <wp:simplePos x="0" y="0"/>
            <wp:positionH relativeFrom="column">
              <wp:posOffset>4505325</wp:posOffset>
            </wp:positionH>
            <wp:positionV relativeFrom="paragraph">
              <wp:posOffset>146685</wp:posOffset>
            </wp:positionV>
            <wp:extent cx="2120700" cy="236982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7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53A8">
        <w:rPr>
          <w:b/>
          <w:bCs/>
          <w:noProof/>
          <w:sz w:val="28"/>
          <w:szCs w:val="28"/>
        </w:rPr>
        <w:drawing>
          <wp:inline distT="0" distB="0" distL="0" distR="0" wp14:anchorId="767066C8" wp14:editId="6C609D00">
            <wp:extent cx="4183380" cy="2662822"/>
            <wp:effectExtent l="0" t="0" r="762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827" cy="2672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5BFC" w14:textId="1AC0C856" w:rsidR="005F61B5" w:rsidRDefault="005F61B5" w:rsidP="008516D7">
      <w:pPr>
        <w:pStyle w:val="font-claude-response-body"/>
        <w:rPr>
          <w:b/>
          <w:bCs/>
          <w:sz w:val="28"/>
          <w:szCs w:val="28"/>
        </w:rPr>
      </w:pPr>
      <w:r w:rsidRPr="005F61B5">
        <w:rPr>
          <w:b/>
          <w:bCs/>
          <w:sz w:val="28"/>
          <w:szCs w:val="28"/>
        </w:rPr>
        <w:lastRenderedPageBreak/>
        <w:t xml:space="preserve">Hipótese 3: O topo da cauda (os maiores salários líquidos) continua sendo dominado por verbas indenizatórias </w:t>
      </w:r>
      <w:proofErr w:type="spellStart"/>
      <w:r w:rsidRPr="005F61B5">
        <w:rPr>
          <w:b/>
          <w:bCs/>
          <w:sz w:val="28"/>
          <w:szCs w:val="28"/>
        </w:rPr>
        <w:t>extra-teto</w:t>
      </w:r>
      <w:proofErr w:type="spellEnd"/>
      <w:r w:rsidRPr="005F61B5">
        <w:rPr>
          <w:b/>
          <w:bCs/>
          <w:sz w:val="28"/>
          <w:szCs w:val="28"/>
        </w:rPr>
        <w:t xml:space="preserve"> ou o padrão mudou?</w:t>
      </w:r>
    </w:p>
    <w:p w14:paraId="1EF15466" w14:textId="4FAA9431" w:rsidR="005F61B5" w:rsidRPr="005F61B5" w:rsidRDefault="005F61B5" w:rsidP="005F61B5">
      <w:pPr>
        <w:pStyle w:val="font-claude-response-body"/>
      </w:pPr>
      <w:r>
        <w:t>C</w:t>
      </w:r>
      <w:r w:rsidRPr="005F61B5">
        <w:t>onfirmada, mas o padrão mudou.</w:t>
      </w:r>
      <w:r>
        <w:br/>
      </w:r>
      <w:r w:rsidRPr="005F61B5">
        <w:t xml:space="preserve">A verba </w:t>
      </w:r>
      <w:proofErr w:type="spellStart"/>
      <w:r w:rsidRPr="005F61B5">
        <w:t>extra-teto</w:t>
      </w:r>
      <w:proofErr w:type="spellEnd"/>
      <w:r w:rsidRPr="005F61B5">
        <w:t xml:space="preserve"> continua dominando o topo da cauda nos dois meses, mas a natureza dessa verba trocou completamente entre novembro e março:</w:t>
      </w:r>
    </w:p>
    <w:p w14:paraId="2B3F9F07" w14:textId="3D17A390" w:rsidR="005F61B5" w:rsidRPr="005F61B5" w:rsidRDefault="005F61B5" w:rsidP="005F61B5">
      <w:pPr>
        <w:pStyle w:val="font-claude-response-body"/>
      </w:pPr>
      <w:r w:rsidRPr="005F61B5">
        <w:t xml:space="preserve">Em novembro/2025, </w:t>
      </w:r>
      <w:proofErr w:type="spellStart"/>
      <w:r w:rsidRPr="005F61B5">
        <w:t>pagamentos_eventuais</w:t>
      </w:r>
      <w:proofErr w:type="spellEnd"/>
      <w:r w:rsidRPr="005F61B5">
        <w:t xml:space="preserve"> era o motor em 9 de 10 casos — eventos pontuais, prováveis acúmulos retroativos ou decisões judiciais. O caso mais extremo é uma Professora de Educação Básica com salário base de </w:t>
      </w:r>
      <w:r>
        <w:t>R$</w:t>
      </w:r>
      <w:r w:rsidRPr="005F61B5">
        <w:t>6.000,00</w:t>
      </w:r>
      <w:r>
        <w:t xml:space="preserve"> </w:t>
      </w:r>
      <w:r w:rsidRPr="005F61B5">
        <w:t xml:space="preserve">que recebeu </w:t>
      </w:r>
      <w:r>
        <w:t>R$</w:t>
      </w:r>
      <w:r w:rsidRPr="005F61B5">
        <w:t>215.000,00 em eventuais — impossível vir da carreira, é claramente um evento isolado.</w:t>
      </w:r>
    </w:p>
    <w:p w14:paraId="42C49E71" w14:textId="68D830C4" w:rsidR="005F61B5" w:rsidRPr="005F61B5" w:rsidRDefault="005F61B5" w:rsidP="005F61B5">
      <w:pPr>
        <w:pStyle w:val="font-claude-response-body"/>
      </w:pPr>
      <w:r w:rsidRPr="005F61B5">
        <w:t>Em março/2026, abono</w:t>
      </w:r>
      <w:r w:rsidRPr="005F61B5">
        <w:rPr>
          <w:i/>
          <w:iCs/>
        </w:rPr>
        <w:t>_permanência_</w:t>
      </w:r>
      <w:r w:rsidRPr="005F61B5">
        <w:t>&amp;_</w:t>
      </w:r>
      <w:proofErr w:type="spellStart"/>
      <w:r w:rsidRPr="005F61B5">
        <w:t>outras_indenizações</w:t>
      </w:r>
      <w:proofErr w:type="spellEnd"/>
      <w:r w:rsidRPr="005F61B5">
        <w:t xml:space="preserve"> assumiu o topo em 7 de 10 casos — dois Auditores Fiscais da SEFAZ com abonos acima de R$298</w:t>
      </w:r>
      <w:r>
        <w:t>.000,00</w:t>
      </w:r>
      <w:r w:rsidRPr="005F61B5">
        <w:t xml:space="preserve"> cada. Diferente dos eventuais, abono de permanência é uma verba estrutural paga a quem opta por continuar trabalhando após atingir os requisitos de aposentadoria. Não é um evento extraordinário, é um direito de carreira — o que muda bastante a interpretação.</w:t>
      </w:r>
    </w:p>
    <w:p w14:paraId="0BFF3929" w14:textId="77777777" w:rsidR="005F61B5" w:rsidRPr="005F61B5" w:rsidRDefault="005F61B5" w:rsidP="005F61B5">
      <w:pPr>
        <w:pStyle w:val="font-claude-response-body"/>
      </w:pPr>
      <w:r w:rsidRPr="005F61B5">
        <w:t>A troca de grupo dominante também é significativa: CEETEPS (professores) dominou novembro, CETESB (engenheiros) e SEFAZ (auditores) dominaram março. Isso sugere que diferentes órgãos concentram diferentes tipos de eventos ao longo do ano — e que analisar um único mês pode dar uma imagem distorcida do fenômeno.</w:t>
      </w:r>
    </w:p>
    <w:p w14:paraId="50675BD0" w14:textId="0A72B057" w:rsidR="005F61B5" w:rsidRDefault="008516D7" w:rsidP="005F61B5">
      <w:pPr>
        <w:pStyle w:val="font-claude-response-body"/>
        <w:rPr>
          <w:b/>
          <w:bCs/>
          <w:sz w:val="28"/>
          <w:szCs w:val="28"/>
        </w:rPr>
      </w:pPr>
      <w:r w:rsidRPr="008516D7">
        <w:rPr>
          <w:b/>
          <w:bCs/>
          <w:sz w:val="28"/>
          <w:szCs w:val="28"/>
        </w:rPr>
        <w:drawing>
          <wp:inline distT="0" distB="0" distL="0" distR="0" wp14:anchorId="6CE3C295" wp14:editId="2292CC82">
            <wp:extent cx="6479540" cy="2506345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16D7">
        <w:rPr>
          <w:b/>
          <w:bCs/>
          <w:sz w:val="28"/>
          <w:szCs w:val="28"/>
        </w:rPr>
        <w:drawing>
          <wp:inline distT="0" distB="0" distL="0" distR="0" wp14:anchorId="40C5C7F4" wp14:editId="397574A5">
            <wp:extent cx="6479540" cy="249745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262D" w14:textId="6F7C79C7" w:rsidR="008516D7" w:rsidRPr="00930674" w:rsidRDefault="00930674" w:rsidP="005F61B5">
      <w:pPr>
        <w:pStyle w:val="font-claude-response-body"/>
        <w:rPr>
          <w:rFonts w:ascii="Arial" w:hAnsi="Arial" w:cs="Arial"/>
          <w:b/>
          <w:bCs/>
          <w:color w:val="2D3B45"/>
          <w:sz w:val="28"/>
          <w:szCs w:val="28"/>
          <w:shd w:val="clear" w:color="auto" w:fill="FFFFFF"/>
        </w:rPr>
      </w:pPr>
      <w:r w:rsidRPr="00930674">
        <w:rPr>
          <w:rFonts w:ascii="Arial" w:hAnsi="Arial" w:cs="Arial"/>
          <w:b/>
          <w:bCs/>
          <w:color w:val="2D3B45"/>
          <w:sz w:val="28"/>
          <w:szCs w:val="28"/>
          <w:shd w:val="clear" w:color="auto" w:fill="FFFFFF"/>
        </w:rPr>
        <w:lastRenderedPageBreak/>
        <w:t>T</w:t>
      </w:r>
      <w:r w:rsidR="008516D7" w:rsidRPr="00930674">
        <w:rPr>
          <w:rFonts w:ascii="Arial" w:hAnsi="Arial" w:cs="Arial"/>
          <w:b/>
          <w:bCs/>
          <w:color w:val="2D3B45"/>
          <w:sz w:val="28"/>
          <w:szCs w:val="28"/>
          <w:shd w:val="clear" w:color="auto" w:fill="FFFFFF"/>
        </w:rPr>
        <w:t xml:space="preserve">abela comparativa(Média, Mediana, Máximo e Mínimo) </w:t>
      </w:r>
      <w:r>
        <w:rPr>
          <w:rFonts w:ascii="Arial" w:hAnsi="Arial" w:cs="Arial"/>
          <w:b/>
          <w:bCs/>
          <w:color w:val="2D3B45"/>
          <w:sz w:val="28"/>
          <w:szCs w:val="28"/>
          <w:shd w:val="clear" w:color="auto" w:fill="FFFFFF"/>
        </w:rPr>
        <w:br/>
      </w:r>
      <w:r w:rsidRPr="00930674">
        <w:rPr>
          <w:rFonts w:ascii="Arial" w:hAnsi="Arial" w:cs="Arial"/>
          <w:b/>
          <w:bCs/>
          <w:color w:val="2D3B45"/>
          <w:sz w:val="28"/>
          <w:szCs w:val="28"/>
          <w:shd w:val="clear" w:color="auto" w:fill="FFFFFF"/>
        </w:rPr>
        <w:t>Março 2026 e Novembro 2025</w:t>
      </w:r>
    </w:p>
    <w:p w14:paraId="672D8B54" w14:textId="2A7A5F14" w:rsidR="008516D7" w:rsidRDefault="00D35A7F" w:rsidP="005F61B5">
      <w:pPr>
        <w:pStyle w:val="font-claude-response-body"/>
        <w:rPr>
          <w:b/>
          <w:bCs/>
          <w:sz w:val="28"/>
          <w:szCs w:val="28"/>
        </w:rPr>
      </w:pPr>
      <w:r w:rsidRPr="00D35A7F">
        <w:rPr>
          <w:b/>
          <w:bCs/>
          <w:sz w:val="28"/>
          <w:szCs w:val="28"/>
        </w:rPr>
        <w:drawing>
          <wp:inline distT="0" distB="0" distL="0" distR="0" wp14:anchorId="0BA455BA" wp14:editId="2437A8C2">
            <wp:extent cx="6479540" cy="32429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E4387" w14:textId="15B60BB8" w:rsidR="00C67967" w:rsidRPr="005F61B5" w:rsidRDefault="00C67967" w:rsidP="005F61B5">
      <w:pPr>
        <w:pStyle w:val="font-claude-response-body"/>
        <w:rPr>
          <w:b/>
          <w:bCs/>
          <w:sz w:val="28"/>
          <w:szCs w:val="28"/>
        </w:rPr>
      </w:pPr>
      <w:r w:rsidRPr="00C67967">
        <w:rPr>
          <w:b/>
          <w:bCs/>
          <w:sz w:val="28"/>
          <w:szCs w:val="28"/>
        </w:rPr>
        <w:drawing>
          <wp:inline distT="0" distB="0" distL="0" distR="0" wp14:anchorId="03EC59EE" wp14:editId="06243F1F">
            <wp:extent cx="6479540" cy="27495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93E2" w14:textId="77777777" w:rsidR="00836FE1" w:rsidRDefault="00836FE1" w:rsidP="00030123">
      <w:pPr>
        <w:pStyle w:val="font-claude-response-body"/>
        <w:rPr>
          <w:b/>
          <w:bCs/>
          <w:sz w:val="28"/>
          <w:szCs w:val="28"/>
        </w:rPr>
      </w:pPr>
    </w:p>
    <w:p w14:paraId="4D985CED" w14:textId="77777777" w:rsidR="00836FE1" w:rsidRDefault="00836FE1" w:rsidP="00030123">
      <w:pPr>
        <w:pStyle w:val="font-claude-response-body"/>
        <w:rPr>
          <w:b/>
          <w:bCs/>
          <w:sz w:val="28"/>
          <w:szCs w:val="28"/>
        </w:rPr>
      </w:pPr>
    </w:p>
    <w:p w14:paraId="37A3BC46" w14:textId="77777777" w:rsidR="00836FE1" w:rsidRDefault="00836FE1" w:rsidP="00030123">
      <w:pPr>
        <w:pStyle w:val="font-claude-response-body"/>
        <w:rPr>
          <w:b/>
          <w:bCs/>
          <w:sz w:val="28"/>
          <w:szCs w:val="28"/>
        </w:rPr>
      </w:pPr>
    </w:p>
    <w:p w14:paraId="3B4448DD" w14:textId="77777777" w:rsidR="00836FE1" w:rsidRDefault="00836FE1" w:rsidP="00030123">
      <w:pPr>
        <w:pStyle w:val="font-claude-response-body"/>
        <w:rPr>
          <w:b/>
          <w:bCs/>
          <w:sz w:val="28"/>
          <w:szCs w:val="28"/>
        </w:rPr>
      </w:pPr>
    </w:p>
    <w:p w14:paraId="2131432A" w14:textId="77777777" w:rsidR="008C736B" w:rsidRDefault="008C736B" w:rsidP="00030123">
      <w:pPr>
        <w:pStyle w:val="font-claude-response-body"/>
        <w:rPr>
          <w:b/>
          <w:bCs/>
          <w:sz w:val="28"/>
          <w:szCs w:val="28"/>
        </w:rPr>
      </w:pPr>
    </w:p>
    <w:p w14:paraId="1FCDF098" w14:textId="20C78475" w:rsidR="00030123" w:rsidRDefault="00030123" w:rsidP="00030123">
      <w:pPr>
        <w:pStyle w:val="font-claude-response-body"/>
        <w:rPr>
          <w:b/>
          <w:bCs/>
          <w:sz w:val="28"/>
          <w:szCs w:val="28"/>
        </w:rPr>
      </w:pPr>
      <w:r w:rsidRPr="00030123">
        <w:rPr>
          <w:b/>
          <w:bCs/>
          <w:sz w:val="28"/>
          <w:szCs w:val="28"/>
        </w:rPr>
        <w:lastRenderedPageBreak/>
        <w:t>Prompt 1 (Análise de Outliers): Atue como um cientista de dados sênior especialista em auditoria pública. Aqui está o resumo estatístico (.</w:t>
      </w:r>
      <w:proofErr w:type="spellStart"/>
      <w:r w:rsidRPr="00030123">
        <w:rPr>
          <w:b/>
          <w:bCs/>
          <w:sz w:val="28"/>
          <w:szCs w:val="28"/>
        </w:rPr>
        <w:t>describe</w:t>
      </w:r>
      <w:proofErr w:type="spellEnd"/>
      <w:r w:rsidRPr="00030123">
        <w:rPr>
          <w:b/>
          <w:bCs/>
          <w:sz w:val="28"/>
          <w:szCs w:val="28"/>
        </w:rPr>
        <w:t>()) de uma nova folha de pagamento. Com base nos quartis e valores máximos, quais colunas indicam maior volatilidade e potencial presença de supersalários temporários?</w:t>
      </w:r>
    </w:p>
    <w:p w14:paraId="7CCD5D36" w14:textId="0E047503" w:rsidR="00030123" w:rsidRPr="00030123" w:rsidRDefault="00030123" w:rsidP="00030123">
      <w:pPr>
        <w:pStyle w:val="font-claude-response-body"/>
        <w:rPr>
          <w:b/>
          <w:bCs/>
          <w:sz w:val="28"/>
          <w:szCs w:val="28"/>
        </w:rPr>
      </w:pPr>
      <w:r w:rsidRPr="00030123">
        <w:rPr>
          <w:b/>
          <w:bCs/>
          <w:sz w:val="28"/>
          <w:szCs w:val="28"/>
        </w:rPr>
        <w:t>Análise de volatilidade e supersalários — folha com 1.039.647 registros</w:t>
      </w:r>
    </w:p>
    <w:p w14:paraId="0EAE467E" w14:textId="482F4BDA" w:rsidR="00030123" w:rsidRPr="00030123" w:rsidRDefault="00030123" w:rsidP="00030123">
      <w:pPr>
        <w:pStyle w:val="font-claude-response-body"/>
      </w:pPr>
      <w:r w:rsidRPr="00030123">
        <w:rPr>
          <w:b/>
          <w:bCs/>
        </w:rPr>
        <w:t>1. Coluna de maior volatilidade absoluta:</w:t>
      </w:r>
      <w:r w:rsidRPr="00030123">
        <w:t xml:space="preserve"> </w:t>
      </w:r>
      <w:proofErr w:type="spellStart"/>
      <w:r w:rsidRPr="00030123">
        <w:t>pagamentos_eventuais</w:t>
      </w:r>
      <w:proofErr w:type="spellEnd"/>
      <w:r>
        <w:t>.</w:t>
      </w:r>
      <w:r>
        <w:br/>
      </w:r>
      <w:r w:rsidRPr="00030123">
        <w:t xml:space="preserve">É a mais crítica. Mediana e Q3 são </w:t>
      </w:r>
      <w:r w:rsidR="00BC7A9A" w:rsidRPr="00030123">
        <w:t>ambos zeros</w:t>
      </w:r>
      <w:r w:rsidRPr="00030123">
        <w:t xml:space="preserve"> — ou seja, mais de 75% dos servidores não recebeu nada nessa coluna. Mas a média é R$ 165 e o máximo chega a R$ 419.817. Isso é o sinal clássico de distribuição de cauda pesadíssima: a massa não existe, mas os extremos são explosivos. O coeficiente de variação (</w:t>
      </w:r>
      <w:proofErr w:type="spellStart"/>
      <w:r w:rsidRPr="00030123">
        <w:t>std</w:t>
      </w:r>
      <w:proofErr w:type="spellEnd"/>
      <w:r w:rsidRPr="00030123">
        <w:t>/</w:t>
      </w:r>
      <w:proofErr w:type="spellStart"/>
      <w:r w:rsidRPr="00030123">
        <w:t>mean</w:t>
      </w:r>
      <w:proofErr w:type="spellEnd"/>
      <w:r w:rsidRPr="00030123">
        <w:t xml:space="preserve"> ≈ 10,7) é o maior do </w:t>
      </w:r>
      <w:proofErr w:type="spellStart"/>
      <w:r w:rsidRPr="00030123">
        <w:t>dataset</w:t>
      </w:r>
      <w:proofErr w:type="spellEnd"/>
      <w:r w:rsidRPr="00030123">
        <w:t xml:space="preserve"> — nenhuma outra coluna chega perto. Todo supersalário temporário investigado nas hipóteses anteriores veio daqui.</w:t>
      </w:r>
    </w:p>
    <w:p w14:paraId="0F110CDC" w14:textId="7CD3D699" w:rsidR="00030123" w:rsidRPr="00030123" w:rsidRDefault="00030123" w:rsidP="00030123">
      <w:pPr>
        <w:pStyle w:val="font-claude-response-body"/>
      </w:pPr>
      <w:r w:rsidRPr="00030123">
        <w:rPr>
          <w:b/>
          <w:bCs/>
        </w:rPr>
        <w:t>2. Segunda mais volátil:</w:t>
      </w:r>
      <w:r w:rsidRPr="00030123">
        <w:t xml:space="preserve"> férias_e_13º_salário</w:t>
      </w:r>
      <w:r>
        <w:br/>
      </w:r>
      <w:r w:rsidRPr="00030123">
        <w:t>Mesmo padrão estrutural — mediana zero, Q3 zero, mas máximo de R$ 121.656. Isso indica que férias e 13º são pagos de forma concentrada (meses específicos), não distribuídos. Em uma auditoria, meses com picos nessa coluna precisam de atenção redobrada pois podem mascarar pagamentos duplicados ou adiantamentos irregulares. O mínimo negativo de -R$ 11.889 também merece investigação.</w:t>
      </w:r>
    </w:p>
    <w:p w14:paraId="1EC6F793" w14:textId="5B4A2BB3" w:rsidR="00030123" w:rsidRPr="00030123" w:rsidRDefault="00030123" w:rsidP="00030123">
      <w:pPr>
        <w:pStyle w:val="font-claude-response-body"/>
      </w:pPr>
      <w:r w:rsidRPr="00030123">
        <w:rPr>
          <w:b/>
          <w:bCs/>
        </w:rPr>
        <w:t>3. Risco estrutural silencioso:</w:t>
      </w:r>
      <w:r w:rsidRPr="00030123">
        <w:t xml:space="preserve"> </w:t>
      </w:r>
      <w:proofErr w:type="spellStart"/>
      <w:r w:rsidRPr="00030123">
        <w:t>redutor_salarial</w:t>
      </w:r>
      <w:proofErr w:type="spellEnd"/>
      <w:r>
        <w:br/>
      </w:r>
      <w:r w:rsidRPr="00030123">
        <w:t xml:space="preserve">Média negativa de -R$ 75, mas o mínimo é -R$ 267.659 — o valor mais extremo de todo o </w:t>
      </w:r>
      <w:proofErr w:type="spellStart"/>
      <w:r w:rsidRPr="00030123">
        <w:t>dataset</w:t>
      </w:r>
      <w:proofErr w:type="spellEnd"/>
      <w:r w:rsidRPr="00030123">
        <w:t xml:space="preserve"> em termos absolutos. Q1, mediana e Q3 são todos zero, o que significa que quando o redutor aparece, ele aparece com força. Em auditoria isso é sinal de teto constitucional sendo aplicado sobre supersalários — confirma que existem remunerações brutas que ultrapassam o teto e estão sendo cortadas na ponta.</w:t>
      </w:r>
    </w:p>
    <w:p w14:paraId="7AA6D49B" w14:textId="623F5C9E" w:rsidR="00030123" w:rsidRPr="00030123" w:rsidRDefault="00030123" w:rsidP="00030123">
      <w:pPr>
        <w:pStyle w:val="font-claude-response-body"/>
      </w:pPr>
      <w:r w:rsidRPr="00030123">
        <w:rPr>
          <w:b/>
          <w:bCs/>
        </w:rPr>
        <w:t>4. Coluna estável e confiável:</w:t>
      </w:r>
      <w:r w:rsidRPr="00030123">
        <w:t xml:space="preserve"> </w:t>
      </w:r>
      <w:proofErr w:type="spellStart"/>
      <w:r w:rsidRPr="00030123">
        <w:t>remuneração_do_mês</w:t>
      </w:r>
      <w:proofErr w:type="spellEnd"/>
      <w:r>
        <w:br/>
      </w:r>
      <w:r w:rsidRPr="00030123">
        <w:t>É a única com distribuição razoavelmente comportada. Média (R$ 7.503) e mediana (R$ 6.225) próximas, IQR de R$ 4.370. O máximo de R$ 212.421 é alto mas esperado para carreiras de topo. É a coluna que representa o salário regular — base segura para segmentação.</w:t>
      </w:r>
    </w:p>
    <w:p w14:paraId="05A0EA6F" w14:textId="2F8E6BF6" w:rsidR="00BC7A9A" w:rsidRDefault="00030123" w:rsidP="00030123">
      <w:pPr>
        <w:pStyle w:val="font-claude-response-body"/>
      </w:pPr>
      <w:r w:rsidRPr="00030123">
        <w:rPr>
          <w:b/>
          <w:bCs/>
        </w:rPr>
        <w:t xml:space="preserve">5. Achado importante: </w:t>
      </w:r>
      <w:proofErr w:type="spellStart"/>
      <w:r w:rsidRPr="00030123">
        <w:t>abono_permanência</w:t>
      </w:r>
      <w:proofErr w:type="spellEnd"/>
      <w:r>
        <w:br/>
      </w:r>
      <w:r w:rsidRPr="00030123">
        <w:t>Q3 de apenas R$ 40, mas máximo de R$ 154.185. Isso significa que o abono existe para poucos servidores, mas quando existe é gigante. Como visto em março/2026, essa coluna é o novo driver dos supersalários estruturais — diferente dos eventuais, não é um erro ou evento extraordinário, é um direito de carreira que precisa de tratamento separado na modelagem.</w:t>
      </w:r>
    </w:p>
    <w:p w14:paraId="63450650" w14:textId="77777777" w:rsidR="008C736B" w:rsidRPr="008C736B" w:rsidRDefault="008C736B" w:rsidP="00030123">
      <w:pPr>
        <w:pStyle w:val="font-claude-response-body"/>
      </w:pPr>
    </w:p>
    <w:p w14:paraId="5A04C707" w14:textId="60AEDEE8" w:rsidR="00030123" w:rsidRPr="00030123" w:rsidRDefault="00030123" w:rsidP="00030123">
      <w:pPr>
        <w:pStyle w:val="font-claude-response-body"/>
        <w:rPr>
          <w:rStyle w:val="Forte"/>
          <w:b w:val="0"/>
          <w:bCs w:val="0"/>
        </w:rPr>
      </w:pPr>
      <w:r w:rsidRPr="00030123">
        <w:rPr>
          <w:b/>
          <w:bCs/>
          <w:sz w:val="28"/>
          <w:szCs w:val="28"/>
        </w:rPr>
        <w:t>Prompt 2</w:t>
      </w:r>
      <w:r>
        <w:rPr>
          <w:b/>
          <w:bCs/>
          <w:sz w:val="28"/>
          <w:szCs w:val="28"/>
        </w:rPr>
        <w:t xml:space="preserve"> - </w:t>
      </w:r>
      <w:r w:rsidRPr="00030123">
        <w:rPr>
          <w:b/>
          <w:bCs/>
          <w:sz w:val="28"/>
          <w:szCs w:val="28"/>
        </w:rPr>
        <w:t>Encontrei valores negativos na coluna X e Y combinadas. Quais regras de transição de folha de pagamento do setor público ou estornos de benefícios poderiam explicar esse fenômeno técnico nos dados?"</w:t>
      </w:r>
    </w:p>
    <w:p w14:paraId="201D51F2" w14:textId="1817898E" w:rsidR="00030123" w:rsidRDefault="00030123" w:rsidP="00030123">
      <w:pPr>
        <w:pStyle w:val="font-claude-response-body"/>
      </w:pPr>
      <w:r>
        <w:rPr>
          <w:rStyle w:val="Forte"/>
        </w:rPr>
        <w:t>Regras de transição que geram negativos</w:t>
      </w:r>
    </w:p>
    <w:p w14:paraId="1FDD6EE2" w14:textId="266EFFBD" w:rsidR="00030123" w:rsidRDefault="00030123" w:rsidP="00030123">
      <w:pPr>
        <w:pStyle w:val="font-claude-response-body"/>
      </w:pPr>
      <w:r>
        <w:rPr>
          <w:rStyle w:val="Forte"/>
        </w:rPr>
        <w:t xml:space="preserve">1. Estorno retroativo de </w:t>
      </w:r>
      <w:r>
        <w:rPr>
          <w:rStyle w:val="Forte"/>
        </w:rPr>
        <w:t>benefícios</w:t>
      </w:r>
      <w:r>
        <w:t xml:space="preserve"> </w:t>
      </w:r>
      <w:r>
        <w:br/>
        <w:t>Quando</w:t>
      </w:r>
      <w:r>
        <w:t xml:space="preserve"> um servidor recebe um benefício indevidamente (licença, adicional, gratificação), o sistema lança o estorno no mês seguinte com sinal negativo na mesma coluna que recebeu o crédito. É a causa mais comum de </w:t>
      </w:r>
      <w:proofErr w:type="spellStart"/>
      <w:r>
        <w:rPr>
          <w:rStyle w:val="CdigoHTML"/>
        </w:rPr>
        <w:t>pagamentos_eventuais</w:t>
      </w:r>
      <w:proofErr w:type="spellEnd"/>
      <w:r>
        <w:t xml:space="preserve"> negativos — exatamente o que vimos nos -R$ 34.295 de novembro/2025.</w:t>
      </w:r>
    </w:p>
    <w:p w14:paraId="0CF38FE6" w14:textId="168801CE" w:rsidR="00030123" w:rsidRDefault="00030123" w:rsidP="00030123">
      <w:pPr>
        <w:pStyle w:val="font-claude-response-body"/>
      </w:pPr>
      <w:r>
        <w:rPr>
          <w:rStyle w:val="Forte"/>
        </w:rPr>
        <w:lastRenderedPageBreak/>
        <w:t>2. Decisão judicial de devolução</w:t>
      </w:r>
      <w:r>
        <w:t xml:space="preserve"> </w:t>
      </w:r>
      <w:r>
        <w:br/>
      </w:r>
      <w:r>
        <w:t xml:space="preserve">Servidores que receberam valores por liminar e depois tiveram a decisão revertida são cobrados retroativamente. O sistema lança o débito inteiro em um único mês, gerando picos negativos expressivos — pode aparecer tanto em </w:t>
      </w:r>
      <w:proofErr w:type="spellStart"/>
      <w:r>
        <w:rPr>
          <w:rStyle w:val="CdigoHTML"/>
        </w:rPr>
        <w:t>pagamentos_eventuais</w:t>
      </w:r>
      <w:proofErr w:type="spellEnd"/>
      <w:r>
        <w:t xml:space="preserve"> quanto em </w:t>
      </w:r>
      <w:proofErr w:type="spellStart"/>
      <w:r>
        <w:rPr>
          <w:rStyle w:val="CdigoHTML"/>
        </w:rPr>
        <w:t>abono_permanência</w:t>
      </w:r>
      <w:proofErr w:type="spellEnd"/>
      <w:r>
        <w:t>.</w:t>
      </w:r>
    </w:p>
    <w:p w14:paraId="76E41C14" w14:textId="5418A536" w:rsidR="00030123" w:rsidRDefault="00030123" w:rsidP="00030123">
      <w:pPr>
        <w:pStyle w:val="font-claude-response-body"/>
      </w:pPr>
      <w:r>
        <w:rPr>
          <w:rStyle w:val="Forte"/>
        </w:rPr>
        <w:t>3. Acerto de exercícios anteriores</w:t>
      </w:r>
      <w:r>
        <w:t xml:space="preserve"> </w:t>
      </w:r>
      <w:r>
        <w:br/>
      </w:r>
      <w:r>
        <w:t xml:space="preserve">Competências de meses anteriores que foram corrigidas geram lançamentos negativos no mês corrente. Um servidor que recebeu férias a mais em outubro pode ter o ajuste em novembro — explica os negativos em </w:t>
      </w:r>
      <w:r>
        <w:rPr>
          <w:rStyle w:val="CdigoHTML"/>
        </w:rPr>
        <w:t>férias_e_13º_salário</w:t>
      </w:r>
      <w:r>
        <w:t xml:space="preserve"> (-R$ 11.889 em novembro e -R$ 10.913 em março).</w:t>
      </w:r>
    </w:p>
    <w:p w14:paraId="28162DF1" w14:textId="1B6BA9E1" w:rsidR="00030123" w:rsidRDefault="00030123" w:rsidP="00030123">
      <w:pPr>
        <w:pStyle w:val="font-claude-response-body"/>
      </w:pPr>
      <w:r>
        <w:rPr>
          <w:rStyle w:val="Forte"/>
        </w:rPr>
        <w:t>4. Redutor de teto constitucional</w:t>
      </w:r>
      <w:r>
        <w:t xml:space="preserve"> </w:t>
      </w:r>
      <w:r>
        <w:br/>
      </w:r>
      <w:r>
        <w:t xml:space="preserve">Quando a soma bruta ultrapassa o teto do funcionalismo (atualmente ~R$ 44.008), o sistema aplica o </w:t>
      </w:r>
      <w:proofErr w:type="spellStart"/>
      <w:r>
        <w:rPr>
          <w:rStyle w:val="CdigoHTML"/>
        </w:rPr>
        <w:t>redutor_salarial</w:t>
      </w:r>
      <w:proofErr w:type="spellEnd"/>
      <w:r>
        <w:t xml:space="preserve"> para cortar o excedente. O mínimo de -R$ 267.659 que você encontrou indica salários brutos altíssimos sendo cortados na ponta — não é erro, é o mecanismo legal funcionando.</w:t>
      </w:r>
    </w:p>
    <w:p w14:paraId="75ED47FF" w14:textId="67E60C15" w:rsidR="00030123" w:rsidRDefault="00030123" w:rsidP="00030123">
      <w:pPr>
        <w:pStyle w:val="font-claude-response-body"/>
      </w:pPr>
      <w:r>
        <w:rPr>
          <w:rStyle w:val="Forte"/>
        </w:rPr>
        <w:t>5. Desconto de licença não gozada revertida</w:t>
      </w:r>
      <w:r>
        <w:t xml:space="preserve"> </w:t>
      </w:r>
      <w:r>
        <w:br/>
      </w:r>
      <w:r>
        <w:t xml:space="preserve">Servidor que antecipou </w:t>
      </w:r>
      <w:proofErr w:type="spellStart"/>
      <w:r>
        <w:rPr>
          <w:rStyle w:val="CdigoHTML"/>
        </w:rPr>
        <w:t>licença_prêmio_indenizada</w:t>
      </w:r>
      <w:proofErr w:type="spellEnd"/>
      <w:r>
        <w:t xml:space="preserve"> e depois foi demitido ou teve o benefício cancelado gera estorno negativo nessa coluna — explica os -R$ 23.728 de novembro/2025.</w:t>
      </w:r>
    </w:p>
    <w:p w14:paraId="3946B971" w14:textId="77777777" w:rsidR="00DE60F3" w:rsidRDefault="00DE60F3"/>
    <w:sectPr w:rsidR="00DE60F3" w:rsidSect="008516D7">
      <w:pgSz w:w="11906" w:h="16838"/>
      <w:pgMar w:top="851" w:right="851" w:bottom="1418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123"/>
    <w:rsid w:val="00030123"/>
    <w:rsid w:val="0044586B"/>
    <w:rsid w:val="005353A8"/>
    <w:rsid w:val="005F61B5"/>
    <w:rsid w:val="00836FE1"/>
    <w:rsid w:val="008516D7"/>
    <w:rsid w:val="008743A7"/>
    <w:rsid w:val="008C736B"/>
    <w:rsid w:val="008D46F5"/>
    <w:rsid w:val="00930674"/>
    <w:rsid w:val="00BC7A9A"/>
    <w:rsid w:val="00C67967"/>
    <w:rsid w:val="00D35A7F"/>
    <w:rsid w:val="00DE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523B1"/>
  <w15:chartTrackingRefBased/>
  <w15:docId w15:val="{8C896258-E148-48C9-B398-4B704076E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3012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301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3012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30123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03012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9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2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9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66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1018</Words>
  <Characters>5501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14</cp:revision>
  <dcterms:created xsi:type="dcterms:W3CDTF">2026-05-22T17:40:00Z</dcterms:created>
  <dcterms:modified xsi:type="dcterms:W3CDTF">2026-05-22T19:02:00Z</dcterms:modified>
</cp:coreProperties>
</file>