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1E0796">
        <w:rPr>
          <w:rFonts w:ascii="Arial" w:hAnsi="Arial" w:cs="Arial"/>
          <w:bCs/>
          <w:sz w:val="22"/>
          <w:szCs w:val="22"/>
          <w:u w:val="single"/>
        </w:rPr>
        <w:t>25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Al amparo del Contrato Marco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01/2016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42 de fecha 19.02.2015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Grupo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1ra No 3402, entre 34 y 36,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01001867419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0300000004714322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Sucursal 5ta y 92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5ta y 92,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0523220047310018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EES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232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31A, No.1411 e/ 14 y 18, Reparto alturas de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G1401450006</w:t>
      </w:r>
      <w:bookmarkStart w:id="1" w:name="_GoBack"/>
      <w:bookmarkEnd w:id="1"/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Carlos Manuel Méndez Abreu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Unidad Empresarial de Base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28.02.2017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Impermeabilización y reparación de cubierta y reparación de aptos 30 y 31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Edificio Somellián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48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48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C5758F" w:rsidRPr="00C5758F">
        <w:rPr>
          <w:rFonts w:ascii="Arial" w:hAnsi="Arial" w:cs="Arial"/>
          <w:bCs/>
          <w:sz w:val="22"/>
          <w:szCs w:val="22"/>
          <w:u w:val="single"/>
        </w:rPr>
        <w:t>Contrato Marco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34,621.69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34,621.69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Ambas Partes acuerdan que para este suplemento se mantendrán sin modificaciones las demás cláusulas del </w:t>
      </w: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AB" w:rsidRDefault="00594DAB">
      <w:r>
        <w:separator/>
      </w:r>
    </w:p>
  </w:endnote>
  <w:endnote w:type="continuationSeparator" w:id="0">
    <w:p w:rsidR="00594DAB" w:rsidRDefault="0059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AB" w:rsidRDefault="00594DAB">
      <w:r>
        <w:separator/>
      </w:r>
    </w:p>
  </w:footnote>
  <w:footnote w:type="continuationSeparator" w:id="0">
    <w:p w:rsidR="00594DAB" w:rsidRDefault="00594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57498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5BF0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E0796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4DAB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FA1"/>
    <w:rsid w:val="007532AB"/>
    <w:rsid w:val="00753B4D"/>
    <w:rsid w:val="00757873"/>
    <w:rsid w:val="0076481E"/>
    <w:rsid w:val="00767B82"/>
    <w:rsid w:val="007712B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5758F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62D6"/>
    <w:rsid w:val="00F917B8"/>
    <w:rsid w:val="00F964E7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C6930-70EA-4376-88E8-DBDFCFA7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7</cp:revision>
  <cp:lastPrinted>2018-10-16T01:30:00Z</cp:lastPrinted>
  <dcterms:created xsi:type="dcterms:W3CDTF">2018-11-21T19:23:00Z</dcterms:created>
  <dcterms:modified xsi:type="dcterms:W3CDTF">2019-01-10T22:10:00Z</dcterms:modified>
</cp:coreProperties>
</file>