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138F1" w:rsidRPr="00B720E8">
        <w:rPr>
          <w:rFonts w:ascii="Arial" w:hAnsi="Arial" w:cs="Arial"/>
          <w:bCs/>
          <w:sz w:val="22"/>
          <w:szCs w:val="22"/>
          <w:u w:val="single"/>
        </w:rPr>
        <w:t>0</w:t>
      </w:r>
      <w:r w:rsidR="00682DB2">
        <w:rPr>
          <w:rFonts w:ascii="Arial" w:hAnsi="Arial" w:cs="Arial"/>
          <w:bCs/>
          <w:sz w:val="22"/>
          <w:szCs w:val="22"/>
          <w:u w:val="single"/>
        </w:rPr>
        <w:t>6</w:t>
      </w:r>
      <w:r w:rsidR="00F138F1" w:rsidRPr="00B720E8">
        <w:rPr>
          <w:rFonts w:ascii="Arial" w:hAnsi="Arial" w:cs="Arial"/>
          <w:bCs/>
          <w:sz w:val="22"/>
          <w:szCs w:val="22"/>
          <w:u w:val="single"/>
        </w:rPr>
        <w:t>/201</w:t>
      </w:r>
      <w:r w:rsidR="00682DB2">
        <w:rPr>
          <w:rFonts w:ascii="Arial" w:hAnsi="Arial" w:cs="Arial"/>
          <w:bCs/>
          <w:sz w:val="22"/>
          <w:szCs w:val="22"/>
          <w:u w:val="single"/>
        </w:rPr>
        <w:t>8</w:t>
      </w:r>
      <w:bookmarkStart w:id="1" w:name="_GoBack"/>
      <w:bookmarkEnd w:id="1"/>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Metal-Mecánica “Varona”</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192</w:t>
      </w:r>
      <w:r w:rsidR="00F138F1" w:rsidRPr="00F138F1">
        <w:rPr>
          <w:rFonts w:ascii="Arial" w:hAnsi="Arial" w:cs="Arial"/>
          <w:sz w:val="22"/>
          <w:szCs w:val="22"/>
          <w:lang w:val="es-ES"/>
        </w:rPr>
        <w:t xml:space="preserve"> de fecha 26 de diciembre de 1977 emitida por el </w:t>
      </w:r>
      <w:r w:rsidR="00F138F1" w:rsidRPr="00596C80">
        <w:rPr>
          <w:rFonts w:ascii="Arial" w:hAnsi="Arial" w:cs="Arial"/>
          <w:sz w:val="22"/>
          <w:szCs w:val="22"/>
          <w:u w:val="single"/>
          <w:lang w:val="es-ES"/>
        </w:rPr>
        <w:t>Ministro de la Industria Sidero Mecánica (SIME)</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Carretera del Cuervo No. 337, entre Avenida Dolores y Callejón San Matías, San Miguel del Padrón, La Habana</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102.0. 02241</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01000378443</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0300000002850128</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Banco Financiero Internacional (BFI)</w:t>
      </w:r>
      <w:r w:rsidR="00F138F1" w:rsidRPr="00F138F1">
        <w:rPr>
          <w:rFonts w:ascii="Arial" w:hAnsi="Arial" w:cs="Arial"/>
          <w:sz w:val="22"/>
          <w:szCs w:val="22"/>
          <w:lang w:val="es-ES"/>
        </w:rPr>
        <w:t xml:space="preserve">, Sucursal: “Plaza Carlos III” sito en Calle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0528820025930018</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Metropolitano</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288</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San Miguel del Padrón</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G1300430008</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César Luis García Rosabal</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Director de UEB Varona</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11</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01.03.2018</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Director General de la Empresa Metal Mecánica “Varona”</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24</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9,380.89</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0.00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0.00</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lastRenderedPageBreak/>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w:t>
      </w:r>
      <w:r w:rsidRPr="008647B8">
        <w:rPr>
          <w:rFonts w:ascii="Arial" w:hAnsi="Arial" w:cs="Arial"/>
          <w:sz w:val="22"/>
          <w:szCs w:val="22"/>
        </w:rPr>
        <w:lastRenderedPageBreak/>
        <w:t xml:space="preserve">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w:t>
      </w:r>
      <w:r w:rsidRPr="008647B8">
        <w:lastRenderedPageBreak/>
        <w:t>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w:t>
      </w:r>
      <w:r w:rsidRPr="008647B8">
        <w:lastRenderedPageBreak/>
        <w:t xml:space="preserve">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 xml:space="preserve">CONSTRUCTOR quedando </w:t>
      </w:r>
      <w:r>
        <w:rPr>
          <w:rFonts w:ascii="Arial" w:hAnsi="Arial" w:cs="Arial"/>
          <w:bCs/>
          <w:iCs/>
          <w:sz w:val="22"/>
          <w:szCs w:val="22"/>
        </w:rPr>
        <w:lastRenderedPageBreak/>
        <w:t>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amparadas por las Certificaciones de la Producción, previamente discutidas y aceptadas entre 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lastRenderedPageBreak/>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w:t>
      </w:r>
      <w:r w:rsidRPr="008647B8">
        <w:rPr>
          <w:rFonts w:ascii="Arial" w:hAnsi="Arial" w:cs="Arial"/>
          <w:iCs/>
          <w:sz w:val="22"/>
          <w:szCs w:val="22"/>
        </w:rPr>
        <w:lastRenderedPageBreak/>
        <w:t xml:space="preserve">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 xml:space="preserve">cados </w:t>
      </w:r>
      <w:r w:rsidR="00903D76" w:rsidRPr="008647B8">
        <w:rPr>
          <w:rFonts w:ascii="Arial" w:hAnsi="Arial" w:cs="Arial"/>
          <w:iCs/>
          <w:sz w:val="22"/>
          <w:szCs w:val="22"/>
        </w:rPr>
        <w:lastRenderedPageBreak/>
        <w:t>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w:t>
      </w:r>
      <w:r w:rsidR="00931CB8" w:rsidRPr="008647B8">
        <w:rPr>
          <w:rFonts w:ascii="Arial" w:hAnsi="Arial" w:cs="Arial"/>
          <w:iCs/>
          <w:sz w:val="22"/>
          <w:szCs w:val="22"/>
        </w:rPr>
        <w:lastRenderedPageBreak/>
        <w:t>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lastRenderedPageBreak/>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Actas de Adjudicación de Atrasos que correspondan cada mes con la </w:t>
      </w:r>
      <w:r w:rsidRPr="00771232">
        <w:rPr>
          <w:rFonts w:ascii="Arial" w:hAnsi="Arial" w:cs="Arial"/>
          <w:iCs/>
          <w:sz w:val="22"/>
          <w:szCs w:val="22"/>
        </w:rPr>
        <w:lastRenderedPageBreak/>
        <w:t>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procede a su </w:t>
      </w:r>
      <w:r w:rsidR="00931CB8" w:rsidRPr="008647B8">
        <w:rPr>
          <w:rFonts w:ascii="Arial" w:hAnsi="Arial" w:cs="Arial"/>
          <w:sz w:val="22"/>
          <w:szCs w:val="22"/>
        </w:rPr>
        <w:lastRenderedPageBreak/>
        <w:t>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w:t>
      </w:r>
      <w:r w:rsidR="008B4A01" w:rsidRPr="008647B8">
        <w:rPr>
          <w:rFonts w:ascii="Arial" w:hAnsi="Arial" w:cs="Arial"/>
          <w:sz w:val="22"/>
          <w:szCs w:val="22"/>
          <w:lang w:val="es-MX"/>
        </w:rPr>
        <w:lastRenderedPageBreak/>
        <w:t xml:space="preserve">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incumpla total o parcialmente cualquiera de sus obligaciones contractuales, será </w:t>
      </w:r>
      <w:r w:rsidRPr="008647B8">
        <w:rPr>
          <w:rFonts w:ascii="Arial" w:hAnsi="Arial" w:cs="Arial"/>
          <w:sz w:val="22"/>
          <w:szCs w:val="22"/>
        </w:rPr>
        <w:lastRenderedPageBreak/>
        <w:t>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w:t>
      </w:r>
      <w:r w:rsidRPr="008647B8">
        <w:rPr>
          <w:rFonts w:ascii="Arial" w:hAnsi="Arial" w:cs="Arial"/>
          <w:sz w:val="22"/>
          <w:szCs w:val="22"/>
        </w:rPr>
        <w:lastRenderedPageBreak/>
        <w:t xml:space="preserve">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w:t>
      </w:r>
      <w:r w:rsidRPr="008647B8">
        <w:rPr>
          <w:rFonts w:ascii="Arial" w:hAnsi="Arial" w:cs="Arial"/>
          <w:sz w:val="22"/>
          <w:szCs w:val="22"/>
          <w:lang w:val="es-ES_tradnl"/>
        </w:rPr>
        <w:lastRenderedPageBreak/>
        <w:t xml:space="preserve">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todos los suministros y provisiones en curso, los gastos y trabajos </w:t>
      </w:r>
      <w:r w:rsidRPr="008647B8">
        <w:rPr>
          <w:rFonts w:ascii="Arial" w:hAnsi="Arial" w:cs="Arial"/>
          <w:sz w:val="22"/>
          <w:szCs w:val="22"/>
        </w:rPr>
        <w:lastRenderedPageBreak/>
        <w:t>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145" w:rsidRDefault="00552145">
      <w:r>
        <w:separator/>
      </w:r>
    </w:p>
  </w:endnote>
  <w:endnote w:type="continuationSeparator" w:id="0">
    <w:p w:rsidR="00552145" w:rsidRDefault="0055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145" w:rsidRDefault="00552145">
      <w:r>
        <w:separator/>
      </w:r>
    </w:p>
  </w:footnote>
  <w:footnote w:type="continuationSeparator" w:id="0">
    <w:p w:rsidR="00552145" w:rsidRDefault="00552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2145"/>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2DB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7BD861-477C-4560-969E-71A72E3A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14</Pages>
  <Words>6503</Words>
  <Characters>35769</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2019-01-11T17:15:00Z</dcterms:modified>
</cp:coreProperties>
</file>