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0</w:t>
      </w:r>
      <w:r w:rsidR="00FD001E">
        <w:rPr>
          <w:rFonts w:ascii="Arial" w:hAnsi="Arial" w:cs="Arial"/>
          <w:bCs/>
          <w:sz w:val="22"/>
          <w:szCs w:val="22"/>
          <w:u w:val="single"/>
        </w:rPr>
        <w:t>2</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w:t>
      </w:r>
      <w:r w:rsidR="00FA62E9">
        <w:rPr>
          <w:rFonts w:ascii="Arial" w:hAnsi="Arial" w:cs="Arial"/>
          <w:bCs/>
          <w:sz w:val="22"/>
          <w:szCs w:val="22"/>
        </w:rPr>
        <w:t>de Ejecución de Obra</w:t>
      </w:r>
      <w:r w:rsidRPr="000F4F27">
        <w:rPr>
          <w:rFonts w:ascii="Arial" w:hAnsi="Arial" w:cs="Arial"/>
          <w:bCs/>
          <w:sz w:val="22"/>
          <w:szCs w:val="22"/>
        </w:rPr>
        <w:t xml:space="preserve">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48/2018</w:t>
      </w:r>
    </w:p>
    <w:p w:rsidR="000F4F27" w:rsidRPr="00153D5F" w:rsidRDefault="000F4F27" w:rsidP="000F4F27">
      <w:pPr>
        <w:spacing w:after="0" w:line="240" w:lineRule="atLeast"/>
        <w:ind w:right="-3"/>
        <w:jc w:val="both"/>
        <w:rPr>
          <w:rFonts w:ascii="Arial" w:hAnsi="Arial" w:cs="Arial"/>
          <w:bCs/>
          <w:sz w:val="22"/>
          <w:szCs w:val="22"/>
        </w:rPr>
      </w:pPr>
      <w:r w:rsidRPr="00153D5F">
        <w:rPr>
          <w:rFonts w:ascii="Arial" w:hAnsi="Arial" w:cs="Arial"/>
          <w:bCs/>
          <w:sz w:val="22"/>
          <w:szCs w:val="22"/>
        </w:rPr>
        <w:t xml:space="preserve">DE UNA PARTE: </w:t>
      </w:r>
      <w:r w:rsidR="00D45F7E" w:rsidRPr="00153D5F">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00D45F7E" w:rsidRPr="00153D5F">
        <w:rPr>
          <w:rFonts w:ascii="Arial" w:hAnsi="Arial" w:cs="Arial"/>
          <w:bCs/>
          <w:sz w:val="22"/>
          <w:szCs w:val="22"/>
        </w:rPr>
        <w:t>Ayestarán</w:t>
      </w:r>
      <w:proofErr w:type="spellEnd"/>
      <w:r w:rsidR="00D45F7E" w:rsidRPr="00153D5F">
        <w:rPr>
          <w:rFonts w:ascii="Arial" w:hAnsi="Arial" w:cs="Arial"/>
          <w:bCs/>
          <w:sz w:val="22"/>
          <w:szCs w:val="22"/>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r w:rsidRPr="00153D5F">
        <w:rPr>
          <w:rFonts w:ascii="Arial" w:hAnsi="Arial" w:cs="Arial"/>
          <w:bCs/>
          <w:sz w:val="22"/>
          <w:szCs w:val="22"/>
        </w:rPr>
        <w:t>CONSTRUCTOR.</w:t>
      </w:r>
    </w:p>
    <w:p w:rsidR="00E958B9" w:rsidRPr="00153D5F" w:rsidRDefault="00E958B9" w:rsidP="00E958B9">
      <w:pPr>
        <w:pStyle w:val="Textoindependiente"/>
        <w:tabs>
          <w:tab w:val="left" w:pos="1276"/>
        </w:tabs>
        <w:ind w:right="57"/>
        <w:jc w:val="both"/>
        <w:rPr>
          <w:rFonts w:ascii="Arial" w:hAnsi="Arial" w:cs="Arial"/>
          <w:bCs/>
          <w:sz w:val="22"/>
          <w:szCs w:val="22"/>
          <w:lang w:bidi="he-IL"/>
        </w:rPr>
      </w:pPr>
      <w:r w:rsidRPr="00153D5F">
        <w:rPr>
          <w:rFonts w:ascii="Arial" w:hAnsi="Arial" w:cs="Arial"/>
          <w:bCs/>
          <w:sz w:val="22"/>
          <w:szCs w:val="22"/>
          <w:lang w:bidi="he-IL"/>
        </w:rPr>
        <w:t xml:space="preserve">DE OTRA PARTE: </w:t>
      </w:r>
      <w:r w:rsidR="00B757BD" w:rsidRPr="00153D5F">
        <w:rPr>
          <w:rFonts w:ascii="Arial" w:hAnsi="Arial" w:cs="Arial"/>
          <w:sz w:val="22"/>
          <w:szCs w:val="22"/>
          <w:lang w:val="es-ES"/>
        </w:rPr>
        <w:t>Empresa</w:t>
      </w:r>
      <w:r w:rsidR="00B757BD" w:rsidRPr="00153D5F">
        <w:rPr>
          <w:rFonts w:ascii="Arial" w:hAnsi="Arial" w:cs="Arial"/>
          <w:sz w:val="22"/>
          <w:szCs w:val="22"/>
          <w:u w:val="single"/>
          <w:lang w:val="es-ES"/>
        </w:rPr>
        <w:t xml:space="preserve"> Comercializadora y Exportadora de Productos Agropecuarios y Agroindustriales S.A., conocida además como CUBAGRO S.A.</w:t>
      </w:r>
      <w:r w:rsidR="00B757BD" w:rsidRPr="00153D5F">
        <w:rPr>
          <w:rFonts w:ascii="Arial" w:hAnsi="Arial" w:cs="Arial"/>
          <w:sz w:val="22"/>
          <w:szCs w:val="22"/>
          <w:lang w:val="es-ES"/>
        </w:rPr>
        <w:t xml:space="preserve">,  constituida mediante  Resolución  No. 369 de fecha 2006-04-12 00:00:00 emitida por el </w:t>
      </w:r>
      <w:r w:rsidR="00153D5F" w:rsidRPr="00153D5F">
        <w:rPr>
          <w:rFonts w:ascii="Arial" w:hAnsi="Arial" w:cs="Arial"/>
          <w:sz w:val="22"/>
          <w:szCs w:val="22"/>
          <w:u w:val="single"/>
          <w:lang w:val="es-ES"/>
        </w:rPr>
        <w:t>GAE (MINFAR</w:t>
      </w:r>
      <w:r w:rsidR="00B757BD" w:rsidRPr="00153D5F">
        <w:rPr>
          <w:rFonts w:ascii="Arial" w:hAnsi="Arial" w:cs="Arial"/>
          <w:sz w:val="22"/>
          <w:szCs w:val="22"/>
          <w:u w:val="single"/>
          <w:lang w:val="es-ES"/>
        </w:rPr>
        <w:t>)</w:t>
      </w:r>
      <w:r w:rsidR="00B757BD" w:rsidRPr="00153D5F">
        <w:rPr>
          <w:rFonts w:ascii="Arial" w:hAnsi="Arial" w:cs="Arial"/>
          <w:sz w:val="22"/>
          <w:szCs w:val="22"/>
          <w:lang w:val="es-ES"/>
        </w:rPr>
        <w:t xml:space="preserve"> con domicilio legal en </w:t>
      </w:r>
      <w:r w:rsidR="00B757BD" w:rsidRPr="00153D5F">
        <w:rPr>
          <w:rFonts w:ascii="Arial" w:hAnsi="Arial" w:cs="Arial"/>
          <w:sz w:val="22"/>
          <w:szCs w:val="22"/>
          <w:u w:val="single"/>
          <w:lang w:val="es-ES"/>
        </w:rPr>
        <w:t>Avenida 51 No. 22011 entre 220 y 228, consejo popular Cinco Palmas, reparto San Agustín, municipio La Lisa, provincia La Habana</w:t>
      </w:r>
      <w:r w:rsidR="00B757BD" w:rsidRPr="00153D5F">
        <w:rPr>
          <w:rFonts w:ascii="Arial" w:hAnsi="Arial" w:cs="Arial"/>
          <w:sz w:val="22"/>
          <w:szCs w:val="22"/>
          <w:lang w:val="es-ES"/>
        </w:rPr>
        <w:t xml:space="preserve">, con Código en el Registro de Empresas Estatales y Unidades Presupuestadas (REEUP) </w:t>
      </w:r>
      <w:r w:rsidR="00B757BD" w:rsidRPr="00153D5F">
        <w:rPr>
          <w:rFonts w:ascii="Arial" w:hAnsi="Arial" w:cs="Arial"/>
          <w:sz w:val="22"/>
          <w:szCs w:val="22"/>
          <w:u w:val="single"/>
          <w:lang w:val="es-ES"/>
        </w:rPr>
        <w:t>60573</w:t>
      </w:r>
      <w:r w:rsidR="00B757BD" w:rsidRPr="00153D5F">
        <w:rPr>
          <w:rFonts w:ascii="Arial" w:hAnsi="Arial" w:cs="Arial"/>
          <w:sz w:val="22"/>
          <w:szCs w:val="22"/>
          <w:lang w:val="es-ES"/>
        </w:rPr>
        <w:t xml:space="preserve"> y No. Identificación Tributaria </w:t>
      </w:r>
      <w:r w:rsidR="00B757BD" w:rsidRPr="00153D5F">
        <w:rPr>
          <w:rFonts w:ascii="Arial" w:hAnsi="Arial" w:cs="Arial"/>
          <w:sz w:val="22"/>
          <w:szCs w:val="22"/>
          <w:u w:val="single"/>
          <w:lang w:val="es-ES"/>
        </w:rPr>
        <w:t>30001717078</w:t>
      </w:r>
      <w:r w:rsidR="00B757BD" w:rsidRPr="00153D5F">
        <w:rPr>
          <w:rFonts w:ascii="Arial" w:hAnsi="Arial" w:cs="Arial"/>
          <w:sz w:val="22"/>
          <w:szCs w:val="22"/>
          <w:lang w:val="es-ES"/>
        </w:rPr>
        <w:t xml:space="preserve"> Con No. Cuenta Bancaria en CUC </w:t>
      </w:r>
      <w:r w:rsidR="00B757BD" w:rsidRPr="00153D5F">
        <w:rPr>
          <w:rFonts w:ascii="Arial" w:hAnsi="Arial" w:cs="Arial"/>
          <w:sz w:val="22"/>
          <w:szCs w:val="22"/>
          <w:u w:val="single"/>
          <w:lang w:val="es-ES"/>
        </w:rPr>
        <w:t>0300000003581821</w:t>
      </w:r>
      <w:r w:rsidR="00B757BD" w:rsidRPr="00153D5F">
        <w:rPr>
          <w:rFonts w:ascii="Arial" w:hAnsi="Arial" w:cs="Arial"/>
          <w:sz w:val="22"/>
          <w:szCs w:val="22"/>
          <w:lang w:val="es-ES"/>
        </w:rPr>
        <w:t xml:space="preserve">. Titular: </w:t>
      </w:r>
      <w:r w:rsidR="00B757BD" w:rsidRPr="00153D5F">
        <w:rPr>
          <w:rFonts w:ascii="Arial" w:hAnsi="Arial" w:cs="Arial"/>
          <w:sz w:val="22"/>
          <w:szCs w:val="22"/>
          <w:u w:val="single"/>
          <w:lang w:val="es-ES"/>
        </w:rPr>
        <w:t>CUBAGRO S.A.</w:t>
      </w:r>
      <w:r w:rsidR="00B757BD" w:rsidRPr="00153D5F">
        <w:rPr>
          <w:rFonts w:ascii="Arial" w:hAnsi="Arial" w:cs="Arial"/>
          <w:sz w:val="22"/>
          <w:szCs w:val="22"/>
          <w:lang w:val="es-ES"/>
        </w:rPr>
        <w:t xml:space="preserve">, en el Banco: </w:t>
      </w:r>
      <w:r w:rsidR="00B757BD" w:rsidRPr="00153D5F">
        <w:rPr>
          <w:rFonts w:ascii="Arial" w:hAnsi="Arial" w:cs="Arial"/>
          <w:sz w:val="22"/>
          <w:szCs w:val="22"/>
          <w:u w:val="single"/>
          <w:lang w:val="es-ES"/>
        </w:rPr>
        <w:t>Banco Financiero Internacional S.A.</w:t>
      </w:r>
      <w:r w:rsidR="00B757BD" w:rsidRPr="00153D5F">
        <w:rPr>
          <w:rFonts w:ascii="Arial" w:hAnsi="Arial" w:cs="Arial"/>
          <w:sz w:val="22"/>
          <w:szCs w:val="22"/>
          <w:lang w:val="es-ES"/>
        </w:rPr>
        <w:t xml:space="preserve">, Sucursal: 30 sito en Calle </w:t>
      </w:r>
      <w:r w:rsidR="00B757BD" w:rsidRPr="00153D5F">
        <w:rPr>
          <w:rFonts w:ascii="Arial" w:hAnsi="Arial" w:cs="Arial"/>
          <w:sz w:val="22"/>
          <w:szCs w:val="22"/>
          <w:u w:val="single"/>
          <w:lang w:val="es-ES"/>
        </w:rPr>
        <w:t>Avenida 5ta esquina a 92, municipio Playa</w:t>
      </w:r>
      <w:r w:rsidR="00B757BD" w:rsidRPr="00153D5F">
        <w:rPr>
          <w:rFonts w:ascii="Arial" w:hAnsi="Arial" w:cs="Arial"/>
          <w:sz w:val="22"/>
          <w:szCs w:val="22"/>
          <w:lang w:val="es-ES"/>
        </w:rPr>
        <w:t xml:space="preserve"> y Cuenta Bancaria en CUP: </w:t>
      </w:r>
      <w:r w:rsidR="00B757BD" w:rsidRPr="00153D5F">
        <w:rPr>
          <w:rFonts w:ascii="Arial" w:hAnsi="Arial" w:cs="Arial"/>
          <w:sz w:val="22"/>
          <w:szCs w:val="22"/>
          <w:u w:val="single"/>
          <w:lang w:val="es-ES"/>
        </w:rPr>
        <w:t>0531520049020015</w:t>
      </w:r>
      <w:r w:rsidR="00B757BD" w:rsidRPr="00153D5F">
        <w:rPr>
          <w:rFonts w:ascii="Arial" w:hAnsi="Arial" w:cs="Arial"/>
          <w:sz w:val="22"/>
          <w:szCs w:val="22"/>
          <w:lang w:val="es-ES"/>
        </w:rPr>
        <w:t xml:space="preserve">. Titular: </w:t>
      </w:r>
      <w:r w:rsidR="00B757BD" w:rsidRPr="00153D5F">
        <w:rPr>
          <w:rFonts w:ascii="Arial" w:hAnsi="Arial" w:cs="Arial"/>
          <w:sz w:val="22"/>
          <w:szCs w:val="22"/>
          <w:u w:val="single"/>
          <w:lang w:val="es-ES"/>
        </w:rPr>
        <w:t>CUBAGRO S.A.</w:t>
      </w:r>
      <w:r w:rsidR="00B757BD" w:rsidRPr="00153D5F">
        <w:rPr>
          <w:rFonts w:ascii="Arial" w:hAnsi="Arial" w:cs="Arial"/>
          <w:sz w:val="22"/>
          <w:szCs w:val="22"/>
          <w:lang w:val="es-ES"/>
        </w:rPr>
        <w:t xml:space="preserve">, en el Banco: </w:t>
      </w:r>
      <w:r w:rsidR="00B757BD" w:rsidRPr="00153D5F">
        <w:rPr>
          <w:rFonts w:ascii="Arial" w:hAnsi="Arial" w:cs="Arial"/>
          <w:sz w:val="22"/>
          <w:szCs w:val="22"/>
          <w:u w:val="single"/>
          <w:lang w:val="es-ES"/>
        </w:rPr>
        <w:t>Banco Metropolitano S.A.</w:t>
      </w:r>
      <w:r w:rsidR="00B757BD" w:rsidRPr="00153D5F">
        <w:rPr>
          <w:rFonts w:ascii="Arial" w:hAnsi="Arial" w:cs="Arial"/>
          <w:sz w:val="22"/>
          <w:szCs w:val="22"/>
          <w:lang w:val="es-ES"/>
        </w:rPr>
        <w:t xml:space="preserve">, Sucursal: </w:t>
      </w:r>
      <w:r w:rsidR="00B757BD" w:rsidRPr="00153D5F">
        <w:rPr>
          <w:rFonts w:ascii="Arial" w:hAnsi="Arial" w:cs="Arial"/>
          <w:sz w:val="22"/>
          <w:szCs w:val="22"/>
          <w:u w:val="single"/>
          <w:lang w:val="es-ES"/>
        </w:rPr>
        <w:t>315</w:t>
      </w:r>
      <w:r w:rsidR="00B757BD" w:rsidRPr="00153D5F">
        <w:rPr>
          <w:rFonts w:ascii="Arial" w:hAnsi="Arial" w:cs="Arial"/>
          <w:sz w:val="22"/>
          <w:szCs w:val="22"/>
          <w:lang w:val="es-ES"/>
        </w:rPr>
        <w:t xml:space="preserve">, sito en </w:t>
      </w:r>
      <w:r w:rsidR="00B757BD" w:rsidRPr="00153D5F">
        <w:rPr>
          <w:rFonts w:ascii="Arial" w:hAnsi="Arial" w:cs="Arial"/>
          <w:sz w:val="22"/>
          <w:szCs w:val="22"/>
          <w:u w:val="single"/>
          <w:lang w:val="es-ES"/>
        </w:rPr>
        <w:t>Avenida 51 No. 21201 entre 212 y 214, municipio La Lisa</w:t>
      </w:r>
      <w:r w:rsidR="00B757BD" w:rsidRPr="00153D5F">
        <w:rPr>
          <w:rFonts w:ascii="Arial" w:hAnsi="Arial" w:cs="Arial"/>
          <w:sz w:val="22"/>
          <w:szCs w:val="22"/>
          <w:lang w:val="es-ES"/>
        </w:rPr>
        <w:t xml:space="preserve">, con No. Licencia para operar en Divisas: </w:t>
      </w:r>
      <w:r w:rsidR="00B757BD" w:rsidRPr="00153D5F">
        <w:rPr>
          <w:rFonts w:ascii="Arial" w:hAnsi="Arial" w:cs="Arial"/>
          <w:sz w:val="22"/>
          <w:szCs w:val="22"/>
          <w:u w:val="single"/>
          <w:lang w:val="es-ES"/>
        </w:rPr>
        <w:t>G0686650009</w:t>
      </w:r>
      <w:r w:rsidR="00B757BD" w:rsidRPr="00153D5F">
        <w:rPr>
          <w:rFonts w:ascii="Arial" w:hAnsi="Arial" w:cs="Arial"/>
          <w:sz w:val="22"/>
          <w:szCs w:val="22"/>
          <w:lang w:val="es-ES"/>
        </w:rPr>
        <w:t xml:space="preserve">, y No. Registro Comercial </w:t>
      </w:r>
      <w:r w:rsidR="00B757BD" w:rsidRPr="00153D5F">
        <w:rPr>
          <w:rFonts w:ascii="Arial" w:hAnsi="Arial" w:cs="Arial"/>
          <w:sz w:val="22"/>
          <w:szCs w:val="22"/>
          <w:u w:val="single"/>
          <w:lang w:val="es-ES"/>
        </w:rPr>
        <w:t>001913</w:t>
      </w:r>
      <w:r w:rsidR="00B757BD" w:rsidRPr="00153D5F">
        <w:rPr>
          <w:rFonts w:ascii="Arial" w:hAnsi="Arial" w:cs="Arial"/>
          <w:sz w:val="22"/>
          <w:szCs w:val="22"/>
          <w:lang w:val="es-ES"/>
        </w:rPr>
        <w:t xml:space="preserve">. Representada en este acto por </w:t>
      </w:r>
      <w:r w:rsidR="00B757BD" w:rsidRPr="00153D5F">
        <w:rPr>
          <w:rFonts w:ascii="Arial" w:hAnsi="Arial" w:cs="Arial"/>
          <w:sz w:val="22"/>
          <w:szCs w:val="22"/>
          <w:u w:val="single"/>
          <w:lang w:val="es-ES"/>
        </w:rPr>
        <w:t>Manuel Carvajal Valverde</w:t>
      </w:r>
      <w:r w:rsidR="00B757BD" w:rsidRPr="00153D5F">
        <w:rPr>
          <w:rFonts w:ascii="Arial" w:hAnsi="Arial" w:cs="Arial"/>
          <w:sz w:val="22"/>
          <w:szCs w:val="22"/>
          <w:lang w:val="es-ES"/>
        </w:rPr>
        <w:t xml:space="preserve">, en su condición de </w:t>
      </w:r>
      <w:r w:rsidR="00B757BD" w:rsidRPr="00153D5F">
        <w:rPr>
          <w:rFonts w:ascii="Arial" w:hAnsi="Arial" w:cs="Arial"/>
          <w:sz w:val="22"/>
          <w:szCs w:val="22"/>
          <w:u w:val="single"/>
          <w:lang w:val="es-ES"/>
        </w:rPr>
        <w:t>Director General</w:t>
      </w:r>
      <w:r w:rsidR="00B757BD" w:rsidRPr="00153D5F">
        <w:rPr>
          <w:rFonts w:ascii="Arial" w:hAnsi="Arial" w:cs="Arial"/>
          <w:sz w:val="22"/>
          <w:szCs w:val="22"/>
          <w:lang w:val="es-ES"/>
        </w:rPr>
        <w:t xml:space="preserve">, nombrado por Resolución No. </w:t>
      </w:r>
      <w:r w:rsidR="00B757BD" w:rsidRPr="00153D5F">
        <w:rPr>
          <w:rFonts w:ascii="Arial" w:hAnsi="Arial" w:cs="Arial"/>
          <w:sz w:val="22"/>
          <w:szCs w:val="22"/>
          <w:u w:val="single"/>
          <w:lang w:val="es-ES"/>
        </w:rPr>
        <w:t>1586</w:t>
      </w:r>
      <w:r w:rsidR="00B757BD" w:rsidRPr="00153D5F">
        <w:rPr>
          <w:rFonts w:ascii="Arial" w:hAnsi="Arial" w:cs="Arial"/>
          <w:sz w:val="22"/>
          <w:szCs w:val="22"/>
          <w:lang w:val="es-ES"/>
        </w:rPr>
        <w:t xml:space="preserve"> de fecha </w:t>
      </w:r>
      <w:r w:rsidR="00B757BD" w:rsidRPr="00153D5F">
        <w:rPr>
          <w:rFonts w:ascii="Arial" w:hAnsi="Arial" w:cs="Arial"/>
          <w:sz w:val="22"/>
          <w:szCs w:val="22"/>
          <w:u w:val="single"/>
          <w:lang w:val="es-ES"/>
        </w:rPr>
        <w:t>2012-10-05 00:00:00</w:t>
      </w:r>
      <w:r w:rsidR="00B757BD" w:rsidRPr="00153D5F">
        <w:rPr>
          <w:rFonts w:ascii="Arial" w:hAnsi="Arial" w:cs="Arial"/>
          <w:sz w:val="22"/>
          <w:szCs w:val="22"/>
          <w:lang w:val="es-ES"/>
        </w:rPr>
        <w:t xml:space="preserve">, emitida por </w:t>
      </w:r>
      <w:r w:rsidR="00B757BD" w:rsidRPr="00153D5F">
        <w:rPr>
          <w:rFonts w:ascii="Arial" w:hAnsi="Arial" w:cs="Arial"/>
          <w:sz w:val="22"/>
          <w:szCs w:val="22"/>
          <w:u w:val="single"/>
          <w:lang w:val="es-ES"/>
        </w:rPr>
        <w:t>Junta General de Accionistas</w:t>
      </w:r>
      <w:r w:rsidR="00B757BD" w:rsidRPr="00153D5F">
        <w:rPr>
          <w:rFonts w:ascii="Arial" w:hAnsi="Arial" w:cs="Arial"/>
          <w:sz w:val="22"/>
          <w:szCs w:val="22"/>
          <w:lang w:val="es-ES"/>
        </w:rPr>
        <w:t>,  que en lo adelante y a los efectos del presente Contrato, se denominará en lo sucesivo</w:t>
      </w:r>
      <w:r w:rsidRPr="00153D5F">
        <w:rPr>
          <w:rFonts w:ascii="Arial" w:hAnsi="Arial" w:cs="Arial"/>
          <w:bCs/>
          <w:sz w:val="22"/>
          <w:szCs w:val="22"/>
          <w:lang w:bidi="he-IL"/>
        </w:rPr>
        <w:t xml:space="preserve"> EL INVERSIONISTA.</w:t>
      </w:r>
    </w:p>
    <w:p w:rsidR="000F4F27" w:rsidRPr="00153D5F" w:rsidRDefault="00E958B9" w:rsidP="0019696F">
      <w:pPr>
        <w:spacing w:before="0" w:after="0" w:line="240" w:lineRule="atLeast"/>
        <w:ind w:right="-3"/>
        <w:jc w:val="both"/>
        <w:rPr>
          <w:rFonts w:ascii="Arial" w:hAnsi="Arial" w:cs="Arial"/>
          <w:bCs/>
          <w:sz w:val="22"/>
          <w:szCs w:val="22"/>
        </w:rPr>
        <w:sectPr w:rsidR="000F4F27" w:rsidRPr="00153D5F" w:rsidSect="00153D5F">
          <w:headerReference w:type="default" r:id="rId8"/>
          <w:footerReference w:type="default" r:id="rId9"/>
          <w:type w:val="continuous"/>
          <w:pgSz w:w="12240" w:h="15840" w:code="1"/>
          <w:pgMar w:top="1021" w:right="851" w:bottom="3119" w:left="2268" w:header="283" w:footer="397" w:gutter="0"/>
          <w:cols w:space="708"/>
          <w:docGrid w:linePitch="360"/>
        </w:sectPr>
      </w:pPr>
      <w:r w:rsidRPr="00153D5F">
        <w:rPr>
          <w:rFonts w:ascii="Arial" w:hAnsi="Arial" w:cs="Arial"/>
          <w:bCs/>
          <w:sz w:val="22"/>
          <w:szCs w:val="22"/>
        </w:rPr>
        <w:t xml:space="preserve">AMBAS PARTES, reconociéndose recíprocamente la representación, el carácter y la capacidad jurídica en que comparecen, convienen suscribir, de buena fe, el presente </w:t>
      </w:r>
      <w:r w:rsidR="00FD001E">
        <w:rPr>
          <w:rFonts w:ascii="Arial" w:hAnsi="Arial" w:cs="Arial"/>
          <w:bCs/>
          <w:sz w:val="22"/>
          <w:szCs w:val="22"/>
        </w:rPr>
        <w:t>Suplemento</w:t>
      </w:r>
      <w:r w:rsidRPr="00153D5F">
        <w:rPr>
          <w:rFonts w:ascii="Arial" w:hAnsi="Arial" w:cs="Arial"/>
          <w:bCs/>
          <w:sz w:val="22"/>
          <w:szCs w:val="22"/>
        </w:rPr>
        <w:t xml:space="preserve"> en los términos y condiciones siguientes</w:t>
      </w:r>
      <w:r w:rsidR="000F4F27" w:rsidRPr="00153D5F">
        <w:rPr>
          <w:rFonts w:ascii="Arial" w:hAnsi="Arial" w:cs="Arial"/>
          <w:bCs/>
          <w:sz w:val="22"/>
          <w:szCs w:val="22"/>
        </w:rPr>
        <w:t>:</w:t>
      </w:r>
    </w:p>
    <w:p w:rsidR="0019696F"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FD001E" w:rsidRPr="000F4F27" w:rsidRDefault="00FD001E" w:rsidP="00FD001E">
      <w:pPr>
        <w:tabs>
          <w:tab w:val="left" w:pos="284"/>
        </w:tabs>
        <w:spacing w:before="0" w:after="0" w:line="240" w:lineRule="atLeast"/>
        <w:ind w:right="-3"/>
        <w:jc w:val="both"/>
        <w:rPr>
          <w:rFonts w:ascii="Arial" w:hAnsi="Arial" w:cs="Arial"/>
          <w:bCs/>
          <w:sz w:val="22"/>
          <w:szCs w:val="22"/>
        </w:rPr>
      </w:pPr>
    </w:p>
    <w:p w:rsidR="00845999" w:rsidRDefault="00FD001E" w:rsidP="00845999">
      <w:pPr>
        <w:numPr>
          <w:ilvl w:val="1"/>
          <w:numId w:val="3"/>
        </w:numPr>
        <w:spacing w:before="0" w:after="0" w:line="240" w:lineRule="atLeast"/>
        <w:ind w:left="0" w:right="-3" w:firstLine="0"/>
        <w:jc w:val="both"/>
        <w:rPr>
          <w:rFonts w:ascii="Arial" w:hAnsi="Arial" w:cs="Arial"/>
          <w:bCs/>
          <w:sz w:val="22"/>
          <w:szCs w:val="22"/>
        </w:rPr>
      </w:pPr>
      <w:r>
        <w:rPr>
          <w:rFonts w:ascii="Arial" w:hAnsi="Arial" w:cs="Arial"/>
          <w:bCs/>
          <w:sz w:val="22"/>
          <w:szCs w:val="22"/>
        </w:rPr>
        <w:t>Modificar el Anexo 2 del Contrato (listado de materiales), ajustando a las cantidades y precios reales ejecutados en la obra</w:t>
      </w:r>
      <w:r w:rsidR="000525BA" w:rsidRPr="000F4F27">
        <w:rPr>
          <w:rFonts w:ascii="Arial" w:hAnsi="Arial" w:cs="Arial"/>
          <w:bCs/>
          <w:sz w:val="22"/>
          <w:szCs w:val="22"/>
        </w:rPr>
        <w:t>,</w:t>
      </w:r>
      <w:r w:rsidR="001855FA" w:rsidRPr="000F4F27">
        <w:rPr>
          <w:rFonts w:ascii="Arial" w:hAnsi="Arial" w:cs="Arial"/>
          <w:bCs/>
          <w:sz w:val="22"/>
          <w:szCs w:val="22"/>
        </w:rPr>
        <w:t xml:space="preserve"> con el objetivo de garantizar </w:t>
      </w:r>
      <w:r>
        <w:rPr>
          <w:rFonts w:ascii="Arial" w:hAnsi="Arial" w:cs="Arial"/>
          <w:bCs/>
          <w:sz w:val="22"/>
          <w:szCs w:val="22"/>
        </w:rPr>
        <w:t xml:space="preserve">los valores totales certificados. </w:t>
      </w:r>
    </w:p>
    <w:p w:rsidR="00FD001E" w:rsidRPr="000F4F27" w:rsidRDefault="00FD001E" w:rsidP="00FD001E">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19696F" w:rsidRPr="000F4F27" w:rsidRDefault="00FD001E" w:rsidP="00CD1340">
      <w:pPr>
        <w:numPr>
          <w:ilvl w:val="1"/>
          <w:numId w:val="3"/>
        </w:numPr>
        <w:spacing w:before="0" w:after="0" w:line="240" w:lineRule="atLeast"/>
        <w:ind w:left="0" w:right="-3" w:firstLine="0"/>
        <w:jc w:val="both"/>
        <w:rPr>
          <w:rFonts w:ascii="Arial" w:hAnsi="Arial" w:cs="Arial"/>
          <w:bCs/>
          <w:sz w:val="22"/>
          <w:szCs w:val="22"/>
        </w:rPr>
      </w:pPr>
      <w:r>
        <w:rPr>
          <w:rFonts w:ascii="Arial" w:hAnsi="Arial" w:cs="Arial"/>
          <w:bCs/>
          <w:sz w:val="22"/>
          <w:szCs w:val="22"/>
        </w:rPr>
        <w:t>El plazo de ejecución se mantiene sin variaciones</w:t>
      </w:r>
      <w:r w:rsidR="0019696F" w:rsidRPr="000F4F27">
        <w:rPr>
          <w:rFonts w:ascii="Arial" w:hAnsi="Arial" w:cs="Arial"/>
          <w:bCs/>
          <w:sz w:val="22"/>
          <w:szCs w:val="22"/>
        </w:rPr>
        <w:t xml:space="preserve">.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FD001E" w:rsidP="004674A2">
      <w:pPr>
        <w:numPr>
          <w:ilvl w:val="1"/>
          <w:numId w:val="3"/>
        </w:numPr>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valor del presente Suplemento es de </w:t>
      </w:r>
      <w:r w:rsidRPr="00FD001E">
        <w:rPr>
          <w:rFonts w:ascii="Arial" w:hAnsi="Arial" w:cs="Arial"/>
          <w:bCs/>
          <w:sz w:val="22"/>
          <w:szCs w:val="22"/>
          <w:u w:val="single"/>
        </w:rPr>
        <w:t>$ 1 888.22</w:t>
      </w:r>
      <w:r>
        <w:rPr>
          <w:rFonts w:ascii="Arial" w:hAnsi="Arial" w:cs="Arial"/>
          <w:bCs/>
          <w:sz w:val="22"/>
          <w:szCs w:val="22"/>
        </w:rPr>
        <w:t xml:space="preserve"> </w:t>
      </w:r>
      <w:r w:rsidRPr="000F4F27">
        <w:rPr>
          <w:rFonts w:ascii="Arial" w:hAnsi="Arial" w:cs="Arial"/>
          <w:bCs/>
          <w:sz w:val="22"/>
          <w:szCs w:val="22"/>
        </w:rPr>
        <w:t xml:space="preserve">Pesos Cubanos Convertibles CUC </w:t>
      </w:r>
      <w:r>
        <w:rPr>
          <w:rFonts w:ascii="Arial" w:hAnsi="Arial" w:cs="Arial"/>
          <w:bCs/>
          <w:sz w:val="22"/>
          <w:szCs w:val="22"/>
        </w:rPr>
        <w:t xml:space="preserve">correspondientes al valor real de los materiales empleados en la obra, lo que no resulta en un incremento en el valor del Contrato y Suplementos que </w:t>
      </w:r>
      <w:r w:rsidR="00845999" w:rsidRPr="000F4F27">
        <w:rPr>
          <w:rFonts w:ascii="Arial" w:hAnsi="Arial" w:cs="Arial"/>
          <w:bCs/>
          <w:sz w:val="22"/>
          <w:szCs w:val="22"/>
        </w:rPr>
        <w:t>da</w:t>
      </w:r>
      <w:r>
        <w:rPr>
          <w:rFonts w:ascii="Arial" w:hAnsi="Arial" w:cs="Arial"/>
          <w:bCs/>
          <w:sz w:val="22"/>
          <w:szCs w:val="22"/>
        </w:rPr>
        <w:t>n</w:t>
      </w:r>
      <w:r w:rsidR="00845999" w:rsidRPr="000F4F27">
        <w:rPr>
          <w:rFonts w:ascii="Arial" w:hAnsi="Arial" w:cs="Arial"/>
          <w:bCs/>
          <w:sz w:val="22"/>
          <w:szCs w:val="22"/>
        </w:rPr>
        <w:t xml:space="preserve"> origen al </w:t>
      </w:r>
      <w:r>
        <w:rPr>
          <w:rFonts w:ascii="Arial" w:hAnsi="Arial" w:cs="Arial"/>
          <w:bCs/>
          <w:sz w:val="22"/>
          <w:szCs w:val="22"/>
        </w:rPr>
        <w:t>mismo.</w:t>
      </w: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FD001E" w:rsidRPr="000F4F27" w:rsidRDefault="00FD001E" w:rsidP="00FD001E">
      <w:pPr>
        <w:spacing w:before="0" w:after="0" w:line="240" w:lineRule="atLeast"/>
        <w:ind w:right="-3"/>
        <w:jc w:val="both"/>
        <w:rPr>
          <w:rFonts w:ascii="Arial" w:hAnsi="Arial" w:cs="Arial"/>
          <w:bCs/>
          <w:sz w:val="22"/>
          <w:szCs w:val="22"/>
        </w:rPr>
      </w:pP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FD001E">
        <w:rPr>
          <w:rFonts w:ascii="Arial" w:hAnsi="Arial" w:cs="Arial"/>
          <w:bCs/>
          <w:sz w:val="22"/>
          <w:szCs w:val="22"/>
        </w:rPr>
        <w:t>Listado de Materiales ajustados con los valores reales</w:t>
      </w:r>
      <w:r w:rsidR="00925295" w:rsidRPr="000F4F27">
        <w:rPr>
          <w:rFonts w:ascii="Arial" w:hAnsi="Arial" w:cs="Arial"/>
          <w:bCs/>
          <w:sz w:val="22"/>
          <w:szCs w:val="22"/>
        </w:rPr>
        <w:t>.</w:t>
      </w:r>
    </w:p>
    <w:p w:rsidR="00153D5F" w:rsidRDefault="00153D5F"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Default="00FD001E" w:rsidP="00153D5F">
      <w:pPr>
        <w:spacing w:before="0" w:after="0" w:line="240" w:lineRule="atLeast"/>
        <w:ind w:left="284" w:right="-3"/>
        <w:jc w:val="both"/>
        <w:rPr>
          <w:rFonts w:ascii="Arial" w:hAnsi="Arial" w:cs="Arial"/>
          <w:bCs/>
          <w:sz w:val="22"/>
          <w:szCs w:val="22"/>
        </w:rPr>
      </w:pPr>
    </w:p>
    <w:p w:rsidR="00FD001E" w:rsidRPr="000F4F27" w:rsidRDefault="00FD001E" w:rsidP="00153D5F">
      <w:pPr>
        <w:spacing w:before="0" w:after="0" w:line="240" w:lineRule="atLeast"/>
        <w:ind w:left="284" w:right="-3"/>
        <w:jc w:val="both"/>
        <w:rPr>
          <w:rFonts w:ascii="Arial" w:hAnsi="Arial" w:cs="Arial"/>
          <w:bCs/>
          <w:sz w:val="22"/>
          <w:szCs w:val="22"/>
        </w:rPr>
      </w:pPr>
      <w:bookmarkStart w:id="1" w:name="_GoBack"/>
      <w:bookmarkEnd w:id="1"/>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457D0B">
        <w:rPr>
          <w:rFonts w:ascii="Arial" w:hAnsi="Arial" w:cs="Arial"/>
          <w:bCs/>
          <w:sz w:val="22"/>
          <w:szCs w:val="22"/>
        </w:rPr>
        <w:t>20____.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3FA" w:rsidRDefault="00DB23FA">
      <w:r>
        <w:separator/>
      </w:r>
    </w:p>
  </w:endnote>
  <w:endnote w:type="continuationSeparator" w:id="0">
    <w:p w:rsidR="00DB23FA" w:rsidRDefault="00DB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3FA" w:rsidRDefault="00DB23FA">
      <w:r>
        <w:separator/>
      </w:r>
    </w:p>
  </w:footnote>
  <w:footnote w:type="continuationSeparator" w:id="0">
    <w:p w:rsidR="00DB23FA" w:rsidRDefault="00DB2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362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3D5F"/>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C685F"/>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D2F16"/>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57D0B"/>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C4B"/>
    <w:rsid w:val="00747FA1"/>
    <w:rsid w:val="007532AB"/>
    <w:rsid w:val="00753B4D"/>
    <w:rsid w:val="00757873"/>
    <w:rsid w:val="0076481E"/>
    <w:rsid w:val="00767B82"/>
    <w:rsid w:val="007712B8"/>
    <w:rsid w:val="0078175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0D85"/>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633"/>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5F7E"/>
    <w:rsid w:val="00D461BB"/>
    <w:rsid w:val="00D560E6"/>
    <w:rsid w:val="00D60B4F"/>
    <w:rsid w:val="00D733C2"/>
    <w:rsid w:val="00D82C98"/>
    <w:rsid w:val="00D91898"/>
    <w:rsid w:val="00D94776"/>
    <w:rsid w:val="00DA7E18"/>
    <w:rsid w:val="00DB23FA"/>
    <w:rsid w:val="00DB387B"/>
    <w:rsid w:val="00DC40E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298A"/>
    <w:rsid w:val="00F862D6"/>
    <w:rsid w:val="00F917B8"/>
    <w:rsid w:val="00F964E7"/>
    <w:rsid w:val="00FA62E9"/>
    <w:rsid w:val="00FB00B7"/>
    <w:rsid w:val="00FB19B5"/>
    <w:rsid w:val="00FB7C8D"/>
    <w:rsid w:val="00FD001E"/>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8A38E-CF0D-4AB4-9946-C4F053F3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729</Words>
  <Characters>4011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Orlando Peraza Medina</cp:lastModifiedBy>
  <cp:revision>4</cp:revision>
  <cp:lastPrinted>2018-10-16T01:30:00Z</cp:lastPrinted>
  <dcterms:created xsi:type="dcterms:W3CDTF">2019-01-30T18:24:00Z</dcterms:created>
  <dcterms:modified xsi:type="dcterms:W3CDTF">2019-02-11T17:33:00Z</dcterms:modified>
</cp:coreProperties>
</file>