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15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$ 7.305,33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$ 7.305,33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7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511,37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044-1/18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27.11.2018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Internacional Cubana de Tabaco. ICT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Escaleras de Gato. ICT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