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96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16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$ 75.234,29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$ 13.271,15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$ 75.234,29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15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11.285,14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170-1/18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06.12.2018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ISLAZUL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