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84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13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$ 59.366,10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$ 59.366,10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15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8.904,92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187/18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13.12.2018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Metal Mecánica Varona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Pabellón 20. Sustitución de Cubierta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