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F138F1" w:rsidRPr="00B720E8">
        <w:rPr>
          <w:rFonts w:ascii="Arial" w:hAnsi="Arial" w:cs="Arial"/>
          <w:bCs/>
          <w:sz w:val="22"/>
          <w:szCs w:val="22"/>
          <w:u w:val="single"/>
        </w:rPr>
        <w:t>${no}/${anno}</w:t>
      </w:r>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 xml:space="preserve">DE UNA PARTE: </w:t>
      </w:r>
      <w:r w:rsidR="008762FF" w:rsidRPr="008762FF">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${empresa}</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${noR}</w:t>
      </w:r>
      <w:r w:rsidR="00F138F1" w:rsidRPr="00F138F1">
        <w:rPr>
          <w:rFonts w:ascii="Arial" w:hAnsi="Arial" w:cs="Arial"/>
          <w:sz w:val="22"/>
          <w:szCs w:val="22"/>
          <w:lang w:val="es-ES"/>
        </w:rPr>
        <w:t xml:space="preserve"> de fecha ${fechaR} emitida por el </w:t>
      </w:r>
      <w:r w:rsidR="00F138F1" w:rsidRPr="00596C80">
        <w:rPr>
          <w:rFonts w:ascii="Arial" w:hAnsi="Arial" w:cs="Arial"/>
          <w:sz w:val="22"/>
          <w:szCs w:val="22"/>
          <w:u w:val="single"/>
          <w:lang w:val="es-ES"/>
        </w:rPr>
        <w:t>${organismoR}</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${domicilioR}</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${reeup}</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${tributaria}</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${cuentaCUC}</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${titularCUC}</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${bancoCUC}</w:t>
      </w:r>
      <w:r w:rsidR="00F138F1" w:rsidRPr="00F138F1">
        <w:rPr>
          <w:rFonts w:ascii="Arial" w:hAnsi="Arial" w:cs="Arial"/>
          <w:sz w:val="22"/>
          <w:szCs w:val="22"/>
          <w:lang w:val="es-ES"/>
        </w:rPr>
        <w:t xml:space="preserve">, Sucursal: ${sucursalCUC} sito en Calle </w:t>
      </w:r>
      <w:r w:rsidR="00F138F1" w:rsidRPr="00596C80">
        <w:rPr>
          <w:rFonts w:ascii="Arial" w:hAnsi="Arial" w:cs="Arial"/>
          <w:sz w:val="22"/>
          <w:szCs w:val="22"/>
          <w:u w:val="single"/>
          <w:lang w:val="es-ES"/>
        </w:rPr>
        <w:t>${sitoCUC}</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${cuentaCUP}</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${titularCUP}</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${bancoCUP}</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${sucursalCUP}</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${sitoCUP}</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${noLic}</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${regCom}</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${repLic}</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${cargoRep}</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${noRes}</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${fechaRes}</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${emitidaRes}</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w:t>
      </w:r>
      <w:r w:rsidR="00642443" w:rsidRPr="00596C80">
        <w:rPr>
          <w:rFonts w:ascii="Arial" w:hAnsi="Arial" w:cs="Arial"/>
          <w:sz w:val="22"/>
          <w:szCs w:val="22"/>
          <w:u w:val="single"/>
        </w:rPr>
        <w:t>${</w:t>
      </w:r>
      <w:r w:rsidR="00642443">
        <w:rPr>
          <w:rFonts w:ascii="Arial" w:hAnsi="Arial" w:cs="Arial"/>
          <w:sz w:val="22"/>
          <w:szCs w:val="22"/>
          <w:u w:val="single"/>
        </w:rPr>
        <w:t>nombreObra</w:t>
      </w:r>
      <w:r w:rsidR="00642443" w:rsidRPr="00596C80">
        <w:rPr>
          <w:rFonts w:ascii="Arial" w:hAnsi="Arial" w:cs="Arial"/>
          <w:sz w:val="22"/>
          <w:szCs w:val="22"/>
          <w:u w:val="single"/>
        </w:rPr>
        <w:t>}</w:t>
      </w:r>
      <w:r w:rsidRPr="008647B8">
        <w:rPr>
          <w:rFonts w:ascii="Arial" w:hAnsi="Arial" w:cs="Arial"/>
          <w:sz w:val="22"/>
          <w:szCs w:val="22"/>
        </w:rPr>
        <w:t xml:space="preserve">, </w:t>
      </w:r>
      <w:r w:rsidR="009F1D57" w:rsidRPr="008647B8">
        <w:rPr>
          <w:rFonts w:ascii="Arial" w:hAnsi="Arial" w:cs="Arial"/>
          <w:sz w:val="22"/>
          <w:szCs w:val="22"/>
        </w:rPr>
        <w:t>sito en</w:t>
      </w:r>
      <w:r w:rsidR="00932EE9" w:rsidRPr="008647B8">
        <w:rPr>
          <w:rFonts w:ascii="Arial" w:hAnsi="Arial" w:cs="Arial"/>
          <w:sz w:val="22"/>
          <w:szCs w:val="22"/>
        </w:rPr>
        <w:t xml:space="preserve"> </w:t>
      </w:r>
      <w:r w:rsidR="007E4BEE" w:rsidRPr="00596C80">
        <w:rPr>
          <w:rFonts w:ascii="Arial" w:hAnsi="Arial" w:cs="Arial"/>
          <w:sz w:val="22"/>
          <w:szCs w:val="22"/>
          <w:u w:val="single"/>
        </w:rPr>
        <w:t>${</w:t>
      </w:r>
      <w:r w:rsidR="007E4BEE">
        <w:rPr>
          <w:rFonts w:ascii="Arial" w:hAnsi="Arial" w:cs="Arial"/>
          <w:sz w:val="22"/>
          <w:szCs w:val="22"/>
          <w:u w:val="single"/>
        </w:rPr>
        <w:t>direccionObra</w:t>
      </w:r>
      <w:r w:rsidR="007E4BEE" w:rsidRPr="00596C80">
        <w:rPr>
          <w:rFonts w:ascii="Arial" w:hAnsi="Arial" w:cs="Arial"/>
          <w:sz w:val="22"/>
          <w:szCs w:val="22"/>
          <w:u w:val="single"/>
        </w:rPr>
        <w:t>}</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w:t>
      </w:r>
      <w:r w:rsidR="007E4BEE">
        <w:rPr>
          <w:rFonts w:ascii="Arial" w:hAnsi="Arial" w:cs="Arial"/>
          <w:sz w:val="22"/>
          <w:szCs w:val="22"/>
          <w:u w:val="single"/>
        </w:rPr>
        <w:t>tiempEjec</w:t>
      </w:r>
      <w:r w:rsidR="007E4BEE" w:rsidRPr="00596C80">
        <w:rPr>
          <w:rFonts w:ascii="Arial" w:hAnsi="Arial" w:cs="Arial"/>
          <w:sz w:val="22"/>
          <w:szCs w:val="22"/>
          <w:u w:val="single"/>
        </w:rPr>
        <w:t>}</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w:t>
      </w:r>
      <w:r w:rsidR="007E4BEE">
        <w:rPr>
          <w:rFonts w:ascii="Arial" w:hAnsi="Arial" w:cs="Arial"/>
          <w:sz w:val="22"/>
          <w:szCs w:val="22"/>
          <w:u w:val="single"/>
        </w:rPr>
        <w:t>valorCCUP</w:t>
      </w:r>
      <w:r w:rsidR="007E4BEE" w:rsidRPr="00596C80">
        <w:rPr>
          <w:rFonts w:ascii="Arial" w:hAnsi="Arial" w:cs="Arial"/>
          <w:sz w:val="22"/>
          <w:szCs w:val="22"/>
          <w:u w:val="single"/>
        </w:rPr>
        <w:t>}</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w:t>
      </w:r>
      <w:r w:rsidR="007E4BEE">
        <w:rPr>
          <w:rFonts w:ascii="Arial" w:hAnsi="Arial" w:cs="Arial"/>
          <w:sz w:val="22"/>
          <w:szCs w:val="22"/>
          <w:u w:val="single"/>
        </w:rPr>
        <w:t>valorCCUC</w:t>
      </w:r>
      <w:r w:rsidR="007E4BEE" w:rsidRPr="00596C80">
        <w:rPr>
          <w:rFonts w:ascii="Arial" w:hAnsi="Arial" w:cs="Arial"/>
          <w:sz w:val="22"/>
          <w:szCs w:val="22"/>
          <w:u w:val="single"/>
        </w:rPr>
        <w:t>}</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w:t>
      </w:r>
      <w:r w:rsidR="007679D3">
        <w:rPr>
          <w:rFonts w:ascii="Arial" w:hAnsi="Arial" w:cs="Arial"/>
          <w:sz w:val="22"/>
          <w:szCs w:val="22"/>
          <w:u w:val="single"/>
        </w:rPr>
        <w:t>anticipo</w:t>
      </w:r>
      <w:r w:rsidR="007679D3" w:rsidRPr="00596C80">
        <w:rPr>
          <w:rFonts w:ascii="Arial" w:hAnsi="Arial" w:cs="Arial"/>
          <w:sz w:val="22"/>
          <w:szCs w:val="22"/>
          <w:u w:val="single"/>
        </w:rPr>
        <w:t>}</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w:t>
      </w:r>
      <w:r w:rsidR="007679D3">
        <w:rPr>
          <w:rFonts w:ascii="Arial" w:hAnsi="Arial" w:cs="Arial"/>
          <w:sz w:val="22"/>
          <w:szCs w:val="22"/>
          <w:u w:val="single"/>
        </w:rPr>
        <w:t>anticipoCUP</w:t>
      </w:r>
      <w:r w:rsidR="007679D3" w:rsidRPr="00596C80">
        <w:rPr>
          <w:rFonts w:ascii="Arial" w:hAnsi="Arial" w:cs="Arial"/>
          <w:sz w:val="22"/>
          <w:szCs w:val="22"/>
          <w:u w:val="single"/>
        </w:rPr>
        <w:t>}</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w:t>
      </w:r>
      <w:r w:rsidR="007679D3">
        <w:rPr>
          <w:rFonts w:ascii="Arial" w:hAnsi="Arial" w:cs="Arial"/>
          <w:sz w:val="22"/>
          <w:szCs w:val="22"/>
          <w:u w:val="single"/>
        </w:rPr>
        <w:t>anticipoCUC</w:t>
      </w:r>
      <w:r w:rsidR="007679D3" w:rsidRPr="00596C80">
        <w:rPr>
          <w:rFonts w:ascii="Arial" w:hAnsi="Arial" w:cs="Arial"/>
          <w:sz w:val="22"/>
          <w:szCs w:val="22"/>
          <w:u w:val="single"/>
        </w:rPr>
        <w:t>}</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w:t>
      </w:r>
      <w:r w:rsidR="00A76ACE" w:rsidRPr="008647B8">
        <w:rPr>
          <w:rFonts w:ascii="Arial" w:hAnsi="Arial" w:cs="Arial"/>
          <w:sz w:val="22"/>
          <w:szCs w:val="22"/>
        </w:rPr>
        <w:lastRenderedPageBreak/>
        <w:t xml:space="preserve">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lastRenderedPageBreak/>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lastRenderedPageBreak/>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w:t>
      </w:r>
      <w:r w:rsidR="00481BC2" w:rsidRPr="008647B8">
        <w:lastRenderedPageBreak/>
        <w:t xml:space="preserve">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w:t>
      </w:r>
      <w:r w:rsidRPr="008647B8">
        <w:lastRenderedPageBreak/>
        <w:t xml:space="preserve">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amparadas por las Certificaciones de la Producción, previamente discutidas y aceptadas entre 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w:t>
      </w:r>
      <w:r w:rsidRPr="007118D4">
        <w:rPr>
          <w:rFonts w:ascii="Arial" w:hAnsi="Arial" w:cs="Arial"/>
          <w:iCs/>
          <w:sz w:val="22"/>
          <w:szCs w:val="22"/>
        </w:rPr>
        <w:lastRenderedPageBreak/>
        <w:t>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Ninguna de las variaciones señaladas anteriormente podrá viciar o invalidar el 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w:t>
      </w:r>
      <w:r w:rsidRPr="008647B8">
        <w:rPr>
          <w:rFonts w:ascii="Arial" w:hAnsi="Arial" w:cs="Arial"/>
          <w:iCs/>
          <w:sz w:val="22"/>
          <w:szCs w:val="22"/>
        </w:rPr>
        <w:lastRenderedPageBreak/>
        <w:t>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 xml:space="preserve">Responder por la ejecución del objeto del Contrato con la calidad pactada, incluyendo la idoneidad, estabilidad y </w:t>
      </w:r>
      <w:r w:rsidRPr="007118D4">
        <w:rPr>
          <w:rFonts w:ascii="Arial" w:hAnsi="Arial" w:cs="Arial"/>
          <w:iCs/>
          <w:sz w:val="22"/>
          <w:szCs w:val="22"/>
        </w:rPr>
        <w:lastRenderedPageBreak/>
        <w:t>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Registrar en el Libro de Obras al ejecutarse las obras productos del presente </w:t>
      </w:r>
      <w:r w:rsidRPr="00771232">
        <w:rPr>
          <w:rFonts w:ascii="Arial" w:hAnsi="Arial" w:cs="Arial"/>
          <w:iCs/>
          <w:sz w:val="22"/>
          <w:szCs w:val="22"/>
        </w:rPr>
        <w:lastRenderedPageBreak/>
        <w:t>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lastRenderedPageBreak/>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w:t>
      </w:r>
      <w:r w:rsidRPr="008647B8">
        <w:rPr>
          <w:rFonts w:ascii="Arial" w:hAnsi="Arial" w:cs="Arial"/>
          <w:sz w:val="22"/>
          <w:szCs w:val="22"/>
        </w:rPr>
        <w:lastRenderedPageBreak/>
        <w:t xml:space="preserve">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equivaldrá al valor de los gastos directos de la obra por cada día de demora 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w:t>
      </w:r>
      <w:r w:rsidRPr="008647B8">
        <w:rPr>
          <w:rFonts w:ascii="Arial" w:hAnsi="Arial" w:cs="Arial"/>
          <w:sz w:val="22"/>
          <w:szCs w:val="22"/>
        </w:rPr>
        <w:lastRenderedPageBreak/>
        <w:t>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Se entenderá también como Fuerza Mayor a los efectos de esta Cláusula, los hechos imprevisibles, o si previsibles inevitables, después de adoptadas todas las </w:t>
      </w:r>
      <w:r w:rsidRPr="008647B8">
        <w:rPr>
          <w:rFonts w:ascii="Arial" w:hAnsi="Arial" w:cs="Arial"/>
          <w:sz w:val="22"/>
          <w:szCs w:val="22"/>
        </w:rPr>
        <w:lastRenderedPageBreak/>
        <w:t>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w:t>
      </w:r>
      <w:r w:rsidRPr="008647B8">
        <w:rPr>
          <w:rFonts w:ascii="Arial" w:hAnsi="Arial" w:cs="Arial"/>
          <w:sz w:val="22"/>
          <w:szCs w:val="22"/>
        </w:rPr>
        <w:lastRenderedPageBreak/>
        <w:t xml:space="preserve">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1E" w:rsidRDefault="0041731E">
      <w:r>
        <w:separator/>
      </w:r>
    </w:p>
  </w:endnote>
  <w:endnote w:type="continuationSeparator" w:id="0">
    <w:p w:rsidR="0041731E" w:rsidRDefault="0041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1E" w:rsidRDefault="0041731E">
      <w:r>
        <w:separator/>
      </w:r>
    </w:p>
  </w:footnote>
  <w:footnote w:type="continuationSeparator" w:id="0">
    <w:p w:rsidR="0041731E" w:rsidRDefault="004173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1731E"/>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762FF"/>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D7442-996C-4886-B08B-71147AD4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14</Pages>
  <Words>6488</Words>
  <Characters>35690</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2019-01-24T22:11:00Z</dcterms:modified>
</cp:coreProperties>
</file>