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/>
      </w:pPr>
      <w:bookmarkStart w:colFirst="0" w:colLast="0" w:name="_t9i8rhhrynrw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Security Vulnerabilities Remediation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empg44dro2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Environment variable injection risk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Environment variable placeholders might be vulnerable to injection.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"${ENV}"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202206221918-mq-config-carriers-dml.sql</w:t>
      </w:r>
      <w:r w:rsidDel="00000000" w:rsidR="00000000" w:rsidRPr="00000000">
        <w:rPr>
          <w:rtl w:val="0"/>
        </w:rPr>
        <w:t xml:space="preserve"> (lines 7, 11)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"${ENV}"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202208031010-predict-feed2.sql</w:t>
      </w:r>
      <w:r w:rsidDel="00000000" w:rsidR="00000000" w:rsidRPr="00000000">
        <w:rPr>
          <w:rtl w:val="0"/>
        </w:rPr>
        <w:t xml:space="preserve"> (line 14)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Remediation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prepared statements with variable binding rather than string concatenation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  <w:t xml:space="preserve">Implement a secure environment variable substitution mechanism:</w:t>
        <w:br w:type="textWrapping"/>
        <w:t xml:space="preserve"> sql</w:t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-- Instead of string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.mq_config (..., s3_dirty, ...)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(...,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'dsa-cdl-s3-borderforce-predict-dirty-${ENV}'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 ...);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-- Use a parameter binding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.mq_config (..., s3_dirty, ...)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(..., ?, ...);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-- Bind parameter securely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environment variable values against a specific pattern before use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m2ecncjga1r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Lack of statement parameterization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SQL statements use direct value insertion rather than parameterization.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Files affected</w:t>
      </w:r>
      <w:r w:rsidDel="00000000" w:rsidR="00000000" w:rsidRPr="00000000">
        <w:rPr>
          <w:rtl w:val="0"/>
        </w:rPr>
        <w:t xml:space="preserve">: All files with INSERT/UPDATE statements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Remediation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  <w:t xml:space="preserve">Use prepared statements with parameter binding:</w:t>
        <w:br w:type="textWrapping"/>
        <w:t xml:space="preserve"> sql</w:t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-- Instead of direct insertion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.cert_config (id, description, ...)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(nextval(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'cert_config_id_seq'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'Test config'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 ...);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-- Use parameterized queries (implementation depends on your database access library)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.cert_config (id, description, ...)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(?, ?, ...);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-- Parameters bound securely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using Liquibase, follow their parameter substitution patterns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Consider using ORM frameworks that handle parameterization automatically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hynowmlw3lf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</w:t>
      </w:r>
      <w:r w:rsidDel="00000000" w:rsidR="00000000" w:rsidRPr="00000000">
        <w:rPr>
          <w:b w:val="1"/>
          <w:sz w:val="34"/>
          <w:szCs w:val="34"/>
          <w:rtl w:val="0"/>
        </w:rPr>
        <w:t xml:space="preserve">. Insufficient data validation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Tables lack constraints for data validation.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Files affected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202206221737-cert-config-ddl.sql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202308241405-response-audit-ddl.sql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Remediation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appropriate CHECK constraints for data validation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Specify length limits for VARCHAR columns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NOT NULL constraints for required fields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  <w:t xml:space="preserve">Implement table and column constraints:</w:t>
        <w:br w:type="textWrapping"/>
        <w:t xml:space="preserve"> sql</w:t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-- Instead of unconstrained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cert_config (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id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description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filer_carrier_id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...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-- Add proper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cert_config (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id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description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),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filer_carrier_id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(filer_carrier_id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'^[A-Za-z0-9]+$'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),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...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);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Consider using domain types for specialized data formats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rkssh1s52j5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Exposed internal infrastructure details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Queue names and directory structures are exposed in the scripts.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Files affected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202206221918-mq-config-carriers-dml.sql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202207011045-update-data-feed-filename-pattern.sql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202305191505-data-feed-fix.sql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Remediation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Store infrastructure details in external configuration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reference keys instead of actual infrastructure paths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  <w:t xml:space="preserve">Implement a configuration lookup pattern:</w:t>
        <w:br w:type="textWrapping"/>
        <w:t xml:space="preserve"> sql</w:t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-- Instead of hard-coded queue 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.mq_config (..., inbound_mq_queue, outbound_mq_queue, ...)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(...,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'PREDICT.IN.CARA'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'PREDICT.OUT.CARA'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 ...);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-- Use configuration 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.mq_config (..., inbound_mq_queue, outbound_mq_queue, ...)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(..., get_config(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'QUEUE_CARA_IN'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), get_config(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'QUEUE_CARA_OUT'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), ...);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Consider encrypting sensitive infrastructure details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xh1cp85l8i1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Limited column constraints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Many columns in the created tables have no length restrictions or other constraints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VARCHAR columns lack length limits.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Files affected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202206221737-cert-config-ddl.sql</w:t>
      </w:r>
      <w:r w:rsidDel="00000000" w:rsidR="00000000" w:rsidRPr="00000000">
        <w:rPr>
          <w:rtl w:val="0"/>
        </w:rPr>
        <w:t xml:space="preserve"> (lines 6-12)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202308241405-response-audit-ddl.sql</w:t>
      </w:r>
      <w:r w:rsidDel="00000000" w:rsidR="00000000" w:rsidRPr="00000000">
        <w:rPr>
          <w:rtl w:val="0"/>
        </w:rPr>
        <w:t xml:space="preserve"> (lines 9-18)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Remediation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Add appropriate length constraints to all VARCHAR columns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  <w:t xml:space="preserve">Implement data type constraints:</w:t>
        <w:br w:type="textWrapping"/>
        <w:t xml:space="preserve"> sql</w:t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-- Instead of unlimited VARCHAR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cert_config (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id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description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filer_carrier_id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...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-- Add length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cert_config (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id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description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),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filer_carrier_id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...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);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Consider using specialized data types for specific formats (e.g., UUID)</w:t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/>
      </w:pPr>
      <w:bookmarkStart w:colFirst="0" w:colLast="0" w:name="_kl2g9uvh3sm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