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CDA1A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DIG 上海共享单车数据分析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与交互可视化项目报告</w:t>
      </w:r>
    </w:p>
    <w:p w14:paraId="5A3E3C4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项目定位</w:t>
      </w:r>
    </w:p>
    <w:p w14:paraId="721E7932">
      <w:pPr>
        <w:jc w:val="both"/>
      </w:pPr>
      <w:r>
        <w:t>共享单车连接着城市生活中的许多短距离移动。我们希望通过订单回答三个逐步深入的问题：人们什么时候骑车，一次骑行通常持续多久，骑行活动又集中在哪里、怎样在区域之间流动。DIG 将这些问题组织成一个可以亲自探索的分析系统，让数据处理、统计发现和视觉表达形成连续的理解过程。</w:t>
      </w:r>
    </w:p>
    <w:p w14:paraId="29E91316">
      <w:pPr>
        <w:jc w:val="both"/>
      </w:pPr>
      <w:r>
        <w:t>项目使用上海地区一个完整月份的共享单车订单样本。经过清洗，102,210 条有效订单呈现出较清晰的早晚高峰、以短时骑行为主的时长分布，以及集中于核心城区的空间结构。这些发现与城市短途接驳的使用场景相吻合。不过，订单本身没有标注出行目的，因此“通勤接驳”是结合统计特征作出的解释，仍需城市设施等外部信息进一步验证。</w:t>
      </w:r>
    </w:p>
    <w:p w14:paraId="784E3CC0">
      <w:pPr>
        <w:jc w:val="both"/>
      </w:pPr>
      <w:r>
        <w:t>DIG 的另一条主线是 GSAP 的系统实践。首页的网格重组建立整体结构，悬停插画预告研究主题，窗口展开延续空间关系，清洗实验室则把处理步骤转化为可暂停、可重播的过程。动效承担着引导注意、解释变化和组织演示节奏的作用，使观众既能看到分析结果，也能理解结果怎样产生。</w:t>
      </w:r>
    </w:p>
    <w:p w14:paraId="52E962F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数据来源与可信度</w:t>
      </w:r>
    </w:p>
    <w:p w14:paraId="462DB2EB">
      <w:pPr>
        <w:jc w:val="both"/>
      </w:pPr>
      <w:r>
        <w:t xml:space="preserve">项目随附的数据说明将公开样本来源指向 Heywhale 的摩拜共享单车数据集，并将其描述为脱敏研究数据。当前分析实际使用本地文件 </w:t>
      </w:r>
      <w:r>
        <w:rPr>
          <w:rFonts w:ascii="Consolas" w:hAnsi="Consolas"/>
          <w:sz w:val="20"/>
        </w:rPr>
        <w:t>mobike_shanghai_sample_updated.csv</w:t>
      </w:r>
      <w:r>
        <w:t>，共 102,361 条记录、9 个字段。来源入口与本地文件应分开理解：公开页面提供来源线索，具体规模、字段和统计结论以本项目实际文件为准。参考入口见文末资料依据。</w:t>
      </w:r>
    </w:p>
    <w:p w14:paraId="10AEA8F7">
      <w:pPr>
        <w:jc w:val="both"/>
      </w:pPr>
      <w:r>
        <w:t>原始字段包含订单、单车和用户三个标识，出发与到达时间，以及起终点各一组经纬度。这些信息足以支持时间、时长、热点和区域流向分析。当前文件不含完整轨迹，也没有天气、站点或出行目的标签；样本规模不等同于上海全市的全量骑行规模。</w:t>
      </w:r>
    </w:p>
    <w:p w14:paraId="5D797B38">
      <w:pPr>
        <w:jc w:val="both"/>
      </w:pPr>
      <w:r>
        <w:t>可信度首先来自清晰的处理规则。Python 脚本依次完成读取、初探、时间解析、时间特征提取、时长计算、异常过滤和结果保存。初探确认当前样本没有缺失值与重复行，因此这一步只检查，不进行填补或去重。随后，从出发时间提取日期、小时、星期和周末标记，再用起止时间差计算分钟数，最终形成 14 个分析字段。</w:t>
      </w:r>
    </w:p>
    <w:p w14:paraId="5E3380AC">
      <w:pPr>
        <w:jc w:val="both"/>
      </w:pPr>
      <w:r>
        <w:t>异常过滤按脚本顺序进行：先保留不少于 1 分钟的记录，再保留不超过 180 分钟的记录，检查起终点坐标是否都处于设定的上海近似经纬度范围，最后复核负时长。实际剔除 148 条超长记录和 3 条坐标越界记录，共 151 条，保留率约 99.85%。坐标规则是矩形范围检查，并非精确的行政区边界判定；保留率也只说明规则筛选的结果，不能据此认定数据完全没有误差。</w:t>
      </w:r>
    </w:p>
    <w:p w14:paraId="105A758E">
      <w:pPr>
        <w:jc w:val="both"/>
      </w:pPr>
      <w:r>
        <w:t xml:space="preserve">这条处理链最终输出 </w:t>
      </w:r>
      <w:r>
        <w:rPr>
          <w:rFonts w:ascii="Consolas" w:hAnsi="Consolas"/>
          <w:sz w:val="20"/>
        </w:rPr>
        <w:t>cleaned_mobike.csv</w:t>
      </w:r>
      <w:r>
        <w:t>。报告使用的订单数、用户数、单车数、小时统计和主要时长指标均与当前 CSV 交叉核对。由此，后面的每一个问题都有可追溯的数据基础。</w:t>
      </w:r>
    </w:p>
    <w:p w14:paraId="0E8FCCB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系统架构与技术栈</w:t>
      </w:r>
    </w:p>
    <w:p w14:paraId="2E8CCC2E">
      <w:pPr>
        <w:jc w:val="both"/>
      </w:pPr>
      <w:r>
        <w:t>系统采用“离线计算、前端交互呈现”的结构。Python 负责数据清洗、探索性统计、空间聚类和 OD 分析；分析结果以本地统计常量进入前端，再由 React 管理筛选与选择状态，SVG 绘制图形，GSAP 编排图形和界面的变化。首页保持挂载，内容通过叠层窗口打开，同时提供独立内容路由。当前访问页面不会发起在线挖掘任务，也没有数据库或业务后端接口参与这条展示链路。</w:t>
      </w:r>
    </w:p>
    <w:p w14:paraId="058F35E5">
      <w:pPr>
        <w:spacing w:before="100" w:after="180"/>
        <w:jc w:val="center"/>
      </w:pPr>
      <w:r>
        <w:drawing>
          <wp:inline distT="0" distB="0" distL="114300" distR="114300">
            <wp:extent cx="6011545" cy="1936750"/>
            <wp:effectExtent l="0" t="0" r="8255" b="6350"/>
            <wp:docPr id="1" name="Picture 1" descr="原始订单 CSV → Python 清洗与特征提取 → 时间 时长 空间 OD离线分析 → 前端本地统计常量 → React 状态与 SVG 图形 → GSAP 驱动八模块交互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原始订单 CSV → Python 清洗与特征提取 → 时间 时长 空间 OD离线分析 → 前端本地统计常量 → React 状态与 SVG 图形 → GSAP 驱动八模块交互报告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9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50D7">
      <w:pPr>
        <w:jc w:val="both"/>
      </w:pPr>
      <w:r>
        <w:t>图中的分析结果进入前端这一环，目前主要依靠整理后的常量，尚未形成统一、自动更新的数据发布接口。这使演示可以脱离分析环境运行，也意味着分析结果更新后，需要同步维护前端数据。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175"/>
        <w:gridCol w:w="4876"/>
      </w:tblGrid>
      <w:tr w14:paraId="1B4A76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233B63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808BB8">
            <w:pPr>
              <w:keepNext/>
              <w:spacing w:after="0" w:line="293" w:lineRule="auto"/>
              <w:jc w:val="center"/>
            </w:pPr>
            <w:r>
              <w:rPr>
                <w:b/>
                <w:color w:val="FFFFFF"/>
                <w:sz w:val="21"/>
              </w:rPr>
              <w:t>层次</w:t>
            </w:r>
          </w:p>
        </w:tc>
        <w:tc>
          <w:tcPr>
            <w:tcW w:w="3175" w:type="dxa"/>
            <w:shd w:val="clear" w:color="auto" w:fill="233B63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0BB59A">
            <w:pPr>
              <w:keepNext/>
              <w:spacing w:after="0" w:line="293" w:lineRule="auto"/>
              <w:jc w:val="left"/>
            </w:pPr>
            <w:r>
              <w:rPr>
                <w:b/>
                <w:color w:val="FFFFFF"/>
                <w:sz w:val="21"/>
              </w:rPr>
              <w:t>当前主要技术</w:t>
            </w:r>
          </w:p>
        </w:tc>
        <w:tc>
          <w:tcPr>
            <w:tcW w:w="4876" w:type="dxa"/>
            <w:shd w:val="clear" w:color="auto" w:fill="233B63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95668C2">
            <w:pPr>
              <w:keepNext/>
              <w:spacing w:after="0" w:line="293" w:lineRule="auto"/>
              <w:jc w:val="left"/>
            </w:pPr>
            <w:r>
              <w:rPr>
                <w:b/>
                <w:color w:val="FFFFFF"/>
                <w:sz w:val="21"/>
              </w:rPr>
              <w:t>在系统中的作用</w:t>
            </w:r>
          </w:p>
        </w:tc>
      </w:tr>
      <w:tr w14:paraId="2998E2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932694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页面与状态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C19B27B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Next.js 16、React 19、TypeScript</w:t>
            </w:r>
          </w:p>
        </w:tc>
        <w:tc>
          <w:tcPr>
            <w:tcW w:w="487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62D62D8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组织首页与独立内容路由，管理窗口和交互状态</w:t>
            </w:r>
          </w:p>
        </w:tc>
      </w:tr>
      <w:tr w14:paraId="714521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DE1EC7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图形与样式</w:t>
            </w:r>
          </w:p>
        </w:tc>
        <w:tc>
          <w:tcPr>
            <w:tcW w:w="3175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7F6215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SVG、CSS、Tailwind CSS 4、Lucide</w:t>
            </w:r>
          </w:p>
        </w:tc>
        <w:tc>
          <w:tcPr>
            <w:tcW w:w="4876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D5E43C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自绘图表、地图与插画，建立布局和视觉层级</w:t>
            </w:r>
          </w:p>
        </w:tc>
      </w:tr>
      <w:tr w14:paraId="648EF2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450DB4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动画与交互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850DEEF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GSAP 3、@gsap/react</w:t>
            </w:r>
          </w:p>
        </w:tc>
        <w:tc>
          <w:tcPr>
            <w:tcW w:w="487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F366BCB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编排时间线、滚动联动、路径变化和可控回放</w:t>
            </w:r>
          </w:p>
        </w:tc>
      </w:tr>
      <w:tr w14:paraId="4DC54D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58C7237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离线分析</w:t>
            </w:r>
          </w:p>
        </w:tc>
        <w:tc>
          <w:tcPr>
            <w:tcW w:w="3175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493F819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Python、pandas、NumPy、scikit-learn、Matplotlib</w:t>
            </w:r>
          </w:p>
        </w:tc>
        <w:tc>
          <w:tcPr>
            <w:tcW w:w="4876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DD4311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清洗、统计、KMeans 聚类与分析图表输出</w:t>
            </w:r>
          </w:p>
        </w:tc>
      </w:tr>
      <w:tr w14:paraId="256FE1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9A391C9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工程组织</w:t>
            </w:r>
          </w:p>
        </w:tc>
        <w:tc>
          <w:tcPr>
            <w:tcW w:w="317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063C7A2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pnpm workspace、Turborepo</w:t>
            </w:r>
          </w:p>
        </w:tc>
        <w:tc>
          <w:tcPr>
            <w:tcW w:w="487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9CB809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管理应用、共享包及构建检查任务</w:t>
            </w:r>
          </w:p>
        </w:tc>
      </w:tr>
    </w:tbl>
    <w:p w14:paraId="41C84D30">
      <w:pPr>
        <w:spacing w:before="0" w:after="0" w:line="80" w:lineRule="exact"/>
      </w:pPr>
    </w:p>
    <w:p w14:paraId="693A4BD4">
      <w:pPr>
        <w:jc w:val="both"/>
      </w:pPr>
      <w:r>
        <w:t>当前图表直接由 SVG 和 React 实现，没有使用 ECharts。仓库虽然保留了 Three.js 高速背景等组件和相关依赖，但它们没有接入当前首页与八个内容模块的展示主链，不能据此把系统介绍为三维可视化平台。</w:t>
      </w:r>
    </w:p>
    <w:p w14:paraId="45C13CC0">
      <w:pPr>
        <w:pStyle w:val="3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四、沿系统完成一次探索</w:t>
      </w:r>
    </w:p>
    <w:p w14:paraId="7A47C25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从首页进入项目总览</w:t>
      </w:r>
    </w:p>
    <w:p w14:paraId="29CCD37F">
      <w:pPr>
        <w:jc w:val="both"/>
      </w:pPr>
      <w:r>
        <w:t>演示从首页开始。线条先勾勒结构，标题和彩色面板依次出现；向下滚动时，页面固定在视野中，网格逐渐重排，中央自行车图形被描绘出来。研究问题由此成为八个可选择的入口。进入“项目总览”，可以先交代数据规模：有效订单 102,210 条，涉及 16,883 位用户、78,985 辆单车，平均骑行时长为 16.49 分钟，中位数为 11 分钟。它为后续分析建立共同背景。</w:t>
      </w:r>
    </w:p>
    <w:p w14:paraId="3A9A7FB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数据清洗让结果有据可循</w:t>
      </w:r>
    </w:p>
    <w:p w14:paraId="2F364465">
      <w:pPr>
        <w:jc w:val="both"/>
      </w:pPr>
      <w:r>
        <w:t>接着进入“数据清洗”。七个章节把原本连续运行的脚本拆成可以观察的阶段。点击执行后，左侧场景展示记录展开、时间解析、特征派生、异常分流与字段归档，右侧同步高亮实际 Python 源码，下方记录数和字段数在对应节点更新。观众可以暂停、继续、重播本步或重置全部流程。</w:t>
      </w:r>
    </w:p>
    <w:p w14:paraId="4F392ECC">
      <w:pPr>
        <w:jc w:val="both"/>
      </w:pPr>
      <w:r>
        <w:t>例如，一条 7 分钟的真实样本帮助解释时长计算；超长记录和坐标越界记录沿不同路径进入拒绝区域；最终，字段重新排列成输出结构。这里回放的是已完成的本地分析，浏览器并不执行 Python。展示的价值在于把处理依据、动作和统计变化放在一起，让人看懂每一步为什么发生。</w:t>
      </w:r>
    </w:p>
    <w:p w14:paraId="13401D4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时间规律回答何时需要车辆</w:t>
      </w:r>
    </w:p>
    <w:p w14:paraId="7B951D7F">
      <w:pPr>
        <w:jc w:val="both"/>
      </w:pPr>
      <w:r>
        <w:t>数据可信后，先观察一天中的使用节奏。“时间规律”提供全部、工作日和周末三种视角，并支持悬停查看、点击锁定小时。全样本的小时汇总在 08:00 和 18:00 形成明显高峰，其中 18:00 的 10,118 单为最高值。切换工作日与周末时，柱形和面积图平滑过渡，使差异能够被连续比较。</w:t>
      </w:r>
    </w:p>
    <w:p w14:paraId="2FA6AF11">
      <w:pPr>
        <w:jc w:val="both"/>
      </w:pPr>
      <w:r>
        <w:t>工作日订单为 76,044 条，占 74.40%；周末为 26,166 条。由于样本包含 23 个工作日、8 个周末日，页面在这两种模式下使用各自的日均小时订单量，避免天数不同干扰比较。由此可以更稳妥地观察工作日尖峰与周末较平缓的活跃节奏，而不能只凭总量差异断言工作日的单日需求更高。</w:t>
      </w:r>
    </w:p>
    <w:p w14:paraId="4C161C9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骑行时长回答一次使用持续多久</w:t>
      </w:r>
    </w:p>
    <w:p w14:paraId="329DE775">
      <w:pPr>
        <w:jc w:val="both"/>
      </w:pPr>
      <w:r>
        <w:t>接下来进入“骑行时长”。分钟级柱形、分布轮廓和均值、中位数、四分位区间标记共同解释分布。切换“5—20 分钟”或“30 分钟以上”，相应区间被突出，其他部分弱化；选择具体柱形或统计标记，可以进一步查看信息。</w:t>
      </w:r>
    </w:p>
    <w:p w14:paraId="16A1F190">
      <w:pPr>
        <w:jc w:val="both"/>
      </w:pPr>
      <w:r>
        <w:t>按 5 分钟及以上、20 分钟以下的口径，共有 67,957 单，占 66.49%。分布在 7 分钟附近达到峰值，中位数 11 分钟，而均值被右侧长尾拉高至 16.49 分钟。因此，大部分骑行时间较短，少量较长骑行仍然存在。时长支持短途使用的解释，但不能直接换算为骑行距离，更不能据此识别每个人的目的地。</w:t>
      </w:r>
    </w:p>
    <w:p w14:paraId="1A34E2D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空间热点回答需求集中在哪里</w:t>
      </w:r>
    </w:p>
    <w:p w14:paraId="50E6E4AE">
      <w:pPr>
        <w:jc w:val="both"/>
      </w:pPr>
      <w:r>
        <w:t>时间和时长之后，视角转向城市空间。“空间热点”将六簇统计置于上海行政区轮廓之上。底图路径的数据来源指向 DataV 的上海行政区边界；点击或聚焦热点及排名项，可以查看对应订单量、占比和中心位置。“全市预览”暂时拉远视野，再返回核心城区，让观众理解局部热点与城市整体的关系。</w:t>
      </w:r>
    </w:p>
    <w:p w14:paraId="216F363E">
      <w:pPr>
        <w:jc w:val="both"/>
      </w:pPr>
      <w:r>
        <w:t>离线空间分析直接以起点经纬度为特征，采用 KMeans，主分析设置 K=6，并以不同 K 值的惯性曲线辅助观察。前三簇共 60,858 单，约占 59.54%，说明需求具有集中性。页面围绕簇中心生成的散点用于示意密度，并非逐条订单的原始位置；区域名称是帮助阅读的概括，也不等于严格的行政区或商圈归属。KMeans 的预设簇数和经纬度距离处理，都是后续可以继续验证的模型选择。</w:t>
      </w:r>
    </w:p>
    <w:p w14:paraId="1C309EE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区域流向回答区域之间怎样联系</w:t>
      </w:r>
    </w:p>
    <w:p w14:paraId="3A2F5FD2">
      <w:pPr>
        <w:jc w:val="both"/>
      </w:pPr>
      <w:r>
        <w:t>热点说明“哪里多”，区域流向进一步展示“哪里与哪里联系”。页面以六个区域为节点，用环形表示区域内流动，用有向束线表示跨区联系，并提供全部、跨区、区域内、净流向四种模式，以及 Top 5、10、15 的跨区流向排名。选择节点、连线或排名项，会联动呈现对应信息。</w:t>
      </w:r>
    </w:p>
    <w:p w14:paraId="44B2BBBF">
      <w:pPr>
        <w:jc w:val="both"/>
      </w:pPr>
      <w:r>
        <w:t>按当前前端展示矩阵，102,210 次骑行中有 86,995 次属于区域内流动，占 85.11%，跨区流动为 15,215 次。这里的“区域内”指起终点落入同一聚类区域，不代表同一行政区。连线是区域级关系的概括，没有描绘实际行驶路线；净流入与净流出也只是这个样本窗口内的汇总差额。它可以提供调度研究的线索，距离实时调度决策仍需要车辆存量、时段和路网等信息。</w:t>
      </w:r>
    </w:p>
    <w:p w14:paraId="0C7E62F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成员介绍与结论展望完成收束</w:t>
      </w:r>
    </w:p>
    <w:p w14:paraId="3BB4B9A1">
      <w:pPr>
        <w:jc w:val="both"/>
      </w:pPr>
      <w:r>
        <w:t>“成员介绍”解释项目如何协作完成：王海涛负责论文文档与讲解答辩，陈书扬负责选题规划和数据挖掘，胡继天负责演示网页与前端交互，喻圣文、王潘毅参与演示文稿的后期深化与优化。介绍分工后，再回到“结论展望”，将早晚高峰、短时骑行、热点集中和区域内流动串成一条解释链，同时说明样本、变量和模型的边界。这样，演示结束时留下的是有依据的认识，以及可以继续验证的问题。</w:t>
      </w:r>
    </w:p>
    <w:p w14:paraId="0CF42309">
      <w:pPr>
        <w:pStyle w:val="3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五、GSAP 如何贯穿整个系统</w:t>
      </w:r>
    </w:p>
    <w:p w14:paraId="0ED7576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用滚动与空间连续性建立整体感</w:t>
      </w:r>
    </w:p>
    <w:p w14:paraId="625FB1C2">
      <w:pPr>
        <w:jc w:val="both"/>
      </w:pPr>
      <w:r>
        <w:t>首页使用 ScrollTrigger 固定视口，并用 scrub 将滚动位置绑定到时间线进度。代码通过一个进度值插值计算网格轨道，再同步面板与分隔线的几何位置；自行车线条和介绍文字在同一时间线上配合出现与退场。CustomEase 为线条和标志描绘设置专门节奏。网格重组来自几何插值，不能将其笼统归为 Flip 动画。</w:t>
      </w:r>
    </w:p>
    <w:p w14:paraId="603831EB">
      <w:pPr>
        <w:keepLines/>
        <w:jc w:val="both"/>
      </w:pPr>
      <w:r>
        <w:t>点击模块后，系统记录入口面板和中央蓝色区域的屏幕位置，通过 SVG 矩形几何变化展开内容窗口，再依次带出侧栏与正文。窗口通过 SVG 的 foreignObject 嵌入 React 内容，将几何转场与可操作的正文组合在一起。关闭时，窗口收回入口，中央蓝色区域恢复，自行车重新描绘。菜单线与自行车线稿还会在悬停时交替出现。这种呼应让观众始终知道内容从哪里展开、返回哪里。</w:t>
      </w:r>
    </w:p>
    <w:p w14:paraId="69E57E5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八种悬停插画提前解释模块主题</w:t>
      </w:r>
    </w:p>
    <w:p w14:paraId="75CE525C">
      <w:pPr>
        <w:jc w:val="both"/>
      </w:pPr>
      <w:r>
        <w:t>首页每个入口都有独立的 SVG 场景和可反向播放的时间线。它们共享控制方式，却使用不同的视觉隐喻。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7880"/>
      </w:tblGrid>
      <w:tr w14:paraId="588E07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233B63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659786">
            <w:pPr>
              <w:keepNext/>
              <w:spacing w:after="0" w:line="293" w:lineRule="auto"/>
              <w:jc w:val="center"/>
            </w:pPr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w="7880" w:type="dxa"/>
            <w:shd w:val="clear" w:color="auto" w:fill="233B63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83705A">
            <w:pPr>
              <w:keepNext/>
              <w:spacing w:after="0" w:line="293" w:lineRule="auto"/>
              <w:jc w:val="left"/>
            </w:pPr>
            <w:r>
              <w:rPr>
                <w:b/>
                <w:color w:val="FFFFFF"/>
                <w:sz w:val="21"/>
              </w:rPr>
              <w:t>悬停时的主要表现</w:t>
            </w:r>
          </w:p>
        </w:tc>
      </w:tr>
      <w:tr w14:paraId="50351E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6DA2537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项目总览</w:t>
            </w:r>
          </w:p>
        </w:tc>
        <w:tc>
          <w:tcPr>
            <w:tcW w:w="7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771BCA2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册页展开，内部窗口重新排列</w:t>
            </w:r>
          </w:p>
        </w:tc>
      </w:tr>
      <w:tr w14:paraId="4078F3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80E564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数据清洗</w:t>
            </w:r>
          </w:p>
        </w:tc>
        <w:tc>
          <w:tcPr>
            <w:tcW w:w="7880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BA843C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粒子进入筛网，异常分离，确认标记描出</w:t>
            </w:r>
          </w:p>
        </w:tc>
      </w:tr>
      <w:tr w14:paraId="66821F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97A16D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时间规律</w:t>
            </w:r>
          </w:p>
        </w:tc>
        <w:tc>
          <w:tcPr>
            <w:tcW w:w="7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A1A263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太阳沿路径移动并变成月亮，云层与星光交替</w:t>
            </w:r>
          </w:p>
        </w:tc>
      </w:tr>
      <w:tr w14:paraId="68ABEE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7253662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骑行时长</w:t>
            </w:r>
          </w:p>
        </w:tc>
        <w:tc>
          <w:tcPr>
            <w:tcW w:w="7880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697C2A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自行车双轮合拢为计时器，刻度和指针变化</w:t>
            </w:r>
          </w:p>
        </w:tc>
      </w:tr>
      <w:tr w14:paraId="401ABA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B279C8C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空间热点</w:t>
            </w:r>
          </w:p>
        </w:tc>
        <w:tc>
          <w:tcPr>
            <w:tcW w:w="7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291ECB3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分散点向中心聚拢，热点圆环与定位框出现</w:t>
            </w:r>
          </w:p>
        </w:tc>
      </w:tr>
      <w:tr w14:paraId="6A0235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82242AB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流向分析</w:t>
            </w:r>
          </w:p>
        </w:tc>
        <w:tc>
          <w:tcPr>
            <w:tcW w:w="7880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DAFC7F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路径展开，粒子沿线运动，箭头指明方向</w:t>
            </w:r>
          </w:p>
        </w:tc>
      </w:tr>
      <w:tr w14:paraId="36ACF2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AC59518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成员介绍</w:t>
            </w:r>
          </w:p>
        </w:tc>
        <w:tc>
          <w:tcPr>
            <w:tcW w:w="7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D26883B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人物卡片归位，协作网络逐步连接</w:t>
            </w:r>
          </w:p>
        </w:tc>
      </w:tr>
      <w:tr w14:paraId="469BA0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FCF4E1">
            <w:pPr>
              <w:keepNext w:val="0"/>
              <w:spacing w:after="0" w:line="293" w:lineRule="auto"/>
              <w:jc w:val="center"/>
            </w:pPr>
            <w:r>
              <w:rPr>
                <w:sz w:val="21"/>
              </w:rPr>
              <w:t>结论展望</w:t>
            </w:r>
          </w:p>
        </w:tc>
        <w:tc>
          <w:tcPr>
            <w:tcW w:w="7880" w:type="dxa"/>
            <w:shd w:val="clear" w:color="auto" w:fill="F2F5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9142BB">
            <w:pPr>
              <w:keepNext w:val="0"/>
              <w:spacing w:after="0" w:line="293" w:lineRule="auto"/>
              <w:jc w:val="left"/>
            </w:pPr>
            <w:r>
              <w:rPr>
                <w:sz w:val="21"/>
              </w:rPr>
              <w:t>柱形升起，折线与箭头变形并向上延伸</w:t>
            </w:r>
          </w:p>
        </w:tc>
      </w:tr>
    </w:tbl>
    <w:p w14:paraId="00EC58F1">
      <w:pPr>
        <w:spacing w:before="0" w:after="0" w:line="80" w:lineRule="exact"/>
      </w:pPr>
    </w:p>
    <w:p w14:paraId="7022F8FC">
      <w:pPr>
        <w:jc w:val="both"/>
      </w:pPr>
      <w:r>
        <w:t>其中，DrawSVG 控制描线范围，MorphSVG 处理日月、刻度、折线等路径变形，MotionPath 控制粒子和图形沿曲线运动。指针移开后，时间线反向回到初始状态；再次进入时继续响应。插画因而成为可探索的主题提示，而非一次播放后便失去作用的装饰。</w:t>
      </w:r>
    </w:p>
    <w:p w14:paraId="62264AB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用时间线把过程和数据同步起来</w:t>
      </w:r>
    </w:p>
    <w:p w14:paraId="030784C2">
      <w:pPr>
        <w:jc w:val="both"/>
      </w:pPr>
      <w:r>
        <w:t>清洗实验室集中体现了 GSAP 的过程表达能力。时间线的阶段标签触发源码高亮，检查点更新记录数和字段数，播放进度同时推动底部进度条。异常分流通过 MotionPath 呈现，最后的字段排序先由 Flip 记录旧布局、改变顺序，再补间到新布局；ScrollToPlugin 则让右侧代码区域跟随当前语句滚动。暂停、继续和重播控制的是这套相互关联的过程。</w:t>
      </w:r>
    </w:p>
    <w:p w14:paraId="55FAEA7F">
      <w:pPr>
        <w:jc w:val="both"/>
      </w:pPr>
      <w:r>
        <w:t>时间和时长图表使用 GSAP 处理柱形尺寸、透明度及轮廓变化，空间热点按底图、散点、中心与标注分层出现。地图的全市预览通过视图变换串起局部与整体。区域流向的筛选主要由 React 状态驱动即时更新，GSAP 参与窗口与地图视野变化；首页流向插画中的路径粒子，不应被描述成详情页持续运行的真实车流。</w:t>
      </w:r>
    </w:p>
    <w:p w14:paraId="512FB4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让华丽表现具备可控的工程基础</w:t>
      </w:r>
    </w:p>
    <w:p w14:paraId="47582313">
      <w:pPr>
        <w:jc w:val="both"/>
      </w:pPr>
      <w:r>
        <w:t xml:space="preserve">项目通过 </w:t>
      </w:r>
      <w:r>
        <w:rPr>
          <w:rFonts w:ascii="Consolas" w:hAnsi="Consolas"/>
          <w:sz w:val="20"/>
        </w:rPr>
        <w:t>useGSAP</w:t>
      </w:r>
      <w:r>
        <w:t>、</w:t>
      </w:r>
      <w:r>
        <w:rPr>
          <w:rFonts w:ascii="Consolas" w:hAnsi="Consolas"/>
          <w:sz w:val="20"/>
        </w:rPr>
        <w:t>gsap.context</w:t>
      </w:r>
      <w:r>
        <w:t xml:space="preserve"> 和组件引用约束动画作用范围，在退出或重建时清理时间线。窗口具有关闭、打开中、已打开、关闭中四种阶段，并通过锁和版本检查控制交接；内容打开时暂停首页滚动触发器，返回后再恢复。清洗回放也使用代次检查，避免旧回调更新新步骤的状态。</w:t>
      </w:r>
    </w:p>
    <w:p w14:paraId="0003DF4A">
      <w:pPr>
        <w:jc w:val="both"/>
      </w:pPr>
      <w:r>
        <w:t>这些细节让动画能够承担交互职责。悬停插画支持键盘焦点，部分主要模块根据减少动态效果的偏好跳到结果状态；小屏首页直接采用最终布局。当前适配仍可继续统一，尤其是首页开场与窗口转场。视觉完成度与工程完善程度应分别评价，具体性能还需要帧率、布局开销和不同设备上的测量。</w:t>
      </w:r>
    </w:p>
    <w:p w14:paraId="751B68E8">
      <w:pPr>
        <w:pStyle w:val="3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六、项目价值与发展空间</w:t>
      </w:r>
    </w:p>
    <w:p w14:paraId="5D7A1E9D">
      <w:pPr>
        <w:jc w:val="both"/>
      </w:pPr>
      <w:r>
        <w:t>DIG 已经形成从处理依据到分析结论、再到交互表达的完整展示链。它的价值在于让观众逐步建立判断：先理解样本如何被处理，再比较时间和时长特征，最后观察空间与流向关系。GSAP 为这条链提供了可见的节奏，也让讲解者能够停留、回放和选择重点。</w:t>
      </w:r>
    </w:p>
    <w:p w14:paraId="2D8BD428">
      <w:pPr>
        <w:jc w:val="both"/>
      </w:pPr>
      <w:r>
        <w:t>下一步应先统一结果发布机制。将清洗摘要、小时统计、聚类中心和 OD 矩阵导出为带有口径说明的结构化数据，使前端自动消费同一批结果，并对总量、分组与版本进行校验，可以减少人工维护常量造成的差异。之后再考虑上传样本、触发分析任务和保存分析版本，逐步建设真正的数据服务能力。</w:t>
      </w:r>
    </w:p>
    <w:p w14:paraId="0207AC46">
      <w:pPr>
        <w:jc w:val="both"/>
      </w:pPr>
      <w:r>
        <w:t>分析层面可以引入天气、轨交站点、道路和城市设施，对通勤接驳解释进行验证；采用适合地理距离的处理方式，对比 DBSCAN 等模型，并检查不同参数下热点是否稳定。展示层可以让时间筛选同时影响热点与 OD，也可以增加统一的演示节奏控制。运营建议则需要进一步结合车辆存量和时段需求验证，不能直接由当前汇总图推导补车数量。</w:t>
      </w:r>
    </w:p>
    <w:p w14:paraId="5ACC0A2D">
      <w:pPr>
        <w:jc w:val="both"/>
      </w:pPr>
      <w:r>
        <w:t>这些发展方向都源于现有系统暴露出的实际需求：数据更新需要一致，模型结论需要验证，模块之间需要更紧密的联系。沿着这条路径，项目能够从一份具有表现力的交互报告，逐步发展为支持持续分析的工具。</w:t>
      </w:r>
    </w:p>
    <w:p w14:paraId="3B3C6A5A">
      <w:pPr>
        <w:pStyle w:val="3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附录 演示准备与资料依据</w:t>
      </w:r>
    </w:p>
    <w:p w14:paraId="0602E9D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建议演示顺序</w:t>
      </w:r>
    </w:p>
    <w:p w14:paraId="10059B9F">
      <w:pPr>
        <w:jc w:val="both"/>
      </w:pPr>
      <w:r>
        <w:t>首页滚动并展示日月与计时器悬停效果 → 总览交代规模 → 清洗演示执行、暂停和过滤归档 → 时间切换工作日与周末 → 时长突出核心区间 → 热点选择与全市预览 → 流向切换跨区和区域内、选择排名 → 成员分工 → 结论与后续发展。每次打开或返回时稍作停留，让窗口交接完成。</w:t>
      </w:r>
    </w:p>
    <w:p w14:paraId="2DC6B56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关键口径与追问准备</w:t>
      </w:r>
    </w:p>
    <w:p w14:paraId="0D500404">
      <w:pPr>
        <w:pStyle w:val="16"/>
      </w:pPr>
      <w:r>
        <w:rPr>
          <w:b/>
        </w:rPr>
        <w:t>时长占比</w:t>
      </w:r>
      <w:r>
        <w:t>：正文与时长模块采用 67,957÷102,210=66.49%，范围为 5 分钟及以上、20 分钟以下；结论页仍有 63.7% 的旧文案。</w:t>
      </w:r>
    </w:p>
    <w:p w14:paraId="73958885">
      <w:pPr>
        <w:pStyle w:val="16"/>
      </w:pPr>
      <w:r>
        <w:rPr>
          <w:b/>
        </w:rPr>
        <w:t>前三热点</w:t>
      </w:r>
      <w:r>
        <w:t>：按订单原数相加后计算为 59.54%；页面 59.6% 来自已舍入占比的相加，精确汇报采用前者。</w:t>
      </w:r>
    </w:p>
    <w:p w14:paraId="2807C34D">
      <w:pPr>
        <w:pStyle w:val="16"/>
      </w:pPr>
      <w:r>
        <w:rPr>
          <w:b/>
        </w:rPr>
        <w:t>OD 依据</w:t>
      </w:r>
      <w:r>
        <w:t>：正文 85.11% 来自当前前端矩阵的对角线之和。旧 OD 脚本会独立重聚类，初始化设置也与热点主分析不同，不能直接混用区域编号与数字；当前矩阵尚缺统一导出链路，不将它宣称为已完整复现的离线产物。</w:t>
      </w:r>
    </w:p>
    <w:p w14:paraId="326F5CAF">
      <w:pPr>
        <w:pStyle w:val="16"/>
      </w:pPr>
      <w:r>
        <w:rPr>
          <w:b/>
        </w:rPr>
        <w:t>为什么使用 GSAP</w:t>
      </w:r>
      <w:r>
        <w:t>：多对象时序、可逆播放、路径变形、滚动联动和过程同步，都能由同一套时间线机制组织。</w:t>
      </w:r>
    </w:p>
    <w:p w14:paraId="4F167031">
      <w:pPr>
        <w:pStyle w:val="16"/>
      </w:pPr>
      <w:r>
        <w:rPr>
          <w:b/>
        </w:rPr>
        <w:t>能否证明通勤或实时调度</w:t>
      </w:r>
      <w:r>
        <w:t>：现有发现支持短途接驳解释，目的识别和运营决策还需外部数据验证。</w:t>
      </w:r>
    </w:p>
    <w:p w14:paraId="18082D8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资料与代码依据</w:t>
      </w:r>
    </w:p>
    <w:p w14:paraId="2FA61211">
      <w:pPr>
        <w:pStyle w:val="16"/>
      </w:pPr>
      <w:r>
        <w:fldChar w:fldCharType="begin"/>
      </w:r>
      <w:r>
        <w:instrText xml:space="preserve"> HYPERLINK "https://www.heywhale.com/mw/dataset/5d315ebbcf76a60036e565bf" \h </w:instrText>
      </w:r>
      <w:r>
        <w:fldChar w:fldCharType="separate"/>
      </w:r>
      <w:r>
        <w:rPr>
          <w:color w:val="244B83"/>
        </w:rPr>
        <w:t>公开数据来源入口</w:t>
      </w:r>
      <w:r>
        <w:rPr>
          <w:color w:val="244B83"/>
        </w:rPr>
        <w:fldChar w:fldCharType="end"/>
      </w:r>
      <w:r>
        <w:t>；</w:t>
      </w:r>
      <w:r>
        <w:fldChar w:fldCharType="begin"/>
      </w:r>
      <w:r>
        <w:instrText xml:space="preserve"> HYPERLINK "https://geo.datav.aliyun.com/areas_v3/bound/310000_full.json" \h </w:instrText>
      </w:r>
      <w:r>
        <w:fldChar w:fldCharType="separate"/>
      </w:r>
      <w:r>
        <w:rPr>
          <w:color w:val="244B83"/>
        </w:rPr>
        <w:t>上海行政区边界来源</w:t>
      </w:r>
      <w:r>
        <w:rPr>
          <w:color w:val="244B83"/>
        </w:rPr>
        <w:fldChar w:fldCharType="end"/>
      </w:r>
      <w:r>
        <w:t xml:space="preserve">。底图来源地址记录在 </w:t>
      </w:r>
      <w:r>
        <w:rPr>
          <w:rFonts w:ascii="Consolas" w:hAnsi="Consolas"/>
          <w:sz w:val="20"/>
        </w:rPr>
        <w:t>shanghaiMapData.ts</w:t>
      </w:r>
      <w:r>
        <w:t>；公开样本的脱敏描述来自项目随附说明。</w:t>
      </w:r>
    </w:p>
    <w:p w14:paraId="1EC534DD">
      <w:pPr>
        <w:pStyle w:val="16"/>
      </w:pPr>
      <w:r>
        <w:t>数据依据：</w:t>
      </w:r>
      <w:r>
        <w:rPr>
          <w:rFonts w:ascii="Consolas" w:hAnsi="Consolas"/>
          <w:sz w:val="20"/>
        </w:rPr>
        <w:t>数据挖掘-期末/mobike_shanghai_sample_updated.csv</w:t>
      </w:r>
      <w:r>
        <w:t>；</w:t>
      </w:r>
      <w:r>
        <w:rPr>
          <w:rFonts w:ascii="Consolas" w:hAnsi="Consolas"/>
          <w:sz w:val="20"/>
        </w:rPr>
        <w:t>main/data-mining/</w:t>
      </w:r>
      <w:r>
        <w:t xml:space="preserve"> 下的清洗 CSV、聚类标签 CSV 与四个 Python 分析脚本。</w:t>
      </w:r>
    </w:p>
    <w:p w14:paraId="43A8DE14">
      <w:pPr>
        <w:pStyle w:val="16"/>
      </w:pPr>
      <w:r>
        <w:t>前端依据：</w:t>
      </w:r>
      <w:r>
        <w:rPr>
          <w:rFonts w:ascii="Consolas" w:hAnsi="Consolas"/>
          <w:sz w:val="20"/>
        </w:rPr>
        <w:t>apps/main-platform/app/home/</w:t>
      </w:r>
      <w:r>
        <w:t xml:space="preserve"> 的首页及八种插画；</w:t>
      </w:r>
      <w:r>
        <w:rPr>
          <w:rFonts w:ascii="Consolas" w:hAnsi="Consolas"/>
          <w:sz w:val="20"/>
        </w:rPr>
        <w:t>app/insights/</w:t>
      </w:r>
      <w:r>
        <w:t xml:space="preserve"> 的模块配置、窗口交接、图表和地图；其</w:t>
      </w:r>
      <w:bookmarkStart w:id="0" w:name="_GoBack"/>
      <w:bookmarkEnd w:id="0"/>
      <w:r>
        <w:t xml:space="preserve"> </w:t>
      </w:r>
      <w:r>
        <w:rPr>
          <w:rFonts w:ascii="Consolas" w:hAnsi="Consolas"/>
          <w:sz w:val="20"/>
        </w:rPr>
        <w:t>cleaning/</w:t>
      </w:r>
      <w:r>
        <w:t xml:space="preserve"> 子目录中的七步回放、动画与源码摘录。</w:t>
      </w:r>
    </w:p>
    <w:sectPr>
      <w:footerReference r:id="rId5" w:type="default"/>
      <w:pgSz w:w="11906" w:h="16838"/>
      <w:pgMar w:top="1134" w:right="1191" w:bottom="1134" w:left="1191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CD4EE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8F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24" w:lineRule="auto"/>
    </w:pPr>
    <w:rPr>
      <w:rFonts w:ascii="Calibri" w:hAnsi="Calibri" w:eastAsia="宋体" w:cstheme="minorBidi"/>
      <w:color w:val="000000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2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00" w:line="300" w:lineRule="auto"/>
      <w:contextualSpacing/>
    </w:pPr>
    <w:rPr>
      <w:rFonts w:ascii="Calibri" w:hAnsi="Calibri" w:eastAsia="宋体"/>
      <w:color w:val="000000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keepLines/>
      <w:spacing w:before="0" w:after="360" w:line="276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spacing w:after="100" w:line="300" w:lineRule="auto"/>
      <w:ind w:left="720"/>
      <w:contextualSpacing/>
    </w:pPr>
    <w:rPr>
      <w:rFonts w:ascii="Calibri" w:hAnsi="Calibri" w:eastAsia="宋体"/>
      <w:color w:val="000000"/>
      <w:sz w:val="21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5465</Words>
  <Characters>6152</Characters>
  <Lines>0</Lines>
  <Paragraphs>0</Paragraphs>
  <TotalTime>4</TotalTime>
  <ScaleCrop>false</ScaleCrop>
  <LinksUpToDate>false</LinksUpToDate>
  <CharactersWithSpaces>6356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2026-10-18T14:00:00Z</dcterms:created>
  <dc:creator>DIG</dc:creator>
  <cp:keywords>共享单车,数据分析,GSAP,交互可视化</cp:keywords>
  <cp:lastModifiedBy>Admin</cp:lastModifiedBy>
  <dcterms:modified xsi:type="dcterms:W3CDTF">2026-10-19T09:55:37Z</dcterms:modified>
  <dc:subject>项目介绍 数据分析 GSAP 实践与演示准备</dc:subject>
  <dc:title>DIG 上海共享单车数据分析与交互可视化项目报告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eyJoZGlkIjoiODc2OGIzMTIzNjQ3MTkxZjAzMjJhZDQxOGM4MGM2MDMiLCJ1c2VySWQiOiIxNzc5OTM1NzU2In0=</vt:lpwstr>
  </property>
  <property fmtid="{D5CDD505-2E9C-101B-9397-08002B2CF9AE}" pid="3" name="KSOProductBuildVer">
    <vt:lpwstr>2052-12.1.0.29158</vt:lpwstr>
  </property>
  <property fmtid="{D5CDD505-2E9C-101B-9397-08002B2CF9AE}" pid="4" name="ICV">
    <vt:lpwstr>31344B1ECEC841D0B7FD0A74E4B16AA4_12</vt:lpwstr>
  </property>
</Properties>
</file>