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84" w:type="dxa"/>
        <w:tblInd w:w="864" w:type="dxa"/>
        <w:tblLayout w:type="fixed"/>
        <w:tblLook w:val="04A0" w:firstRow="1" w:lastRow="0" w:firstColumn="1" w:lastColumn="0" w:noHBand="0" w:noVBand="1"/>
      </w:tblPr>
      <w:tblGrid>
        <w:gridCol w:w="675"/>
        <w:gridCol w:w="2397"/>
        <w:gridCol w:w="5103"/>
        <w:gridCol w:w="1134"/>
        <w:gridCol w:w="1275"/>
      </w:tblGrid>
      <w:tr w:rsidR="00FD2C3D" w:rsidRPr="00990A3F" w:rsidTr="00306EE8">
        <w:tc>
          <w:tcPr>
            <w:tcW w:w="675" w:type="dxa"/>
            <w:shd w:val="clear" w:color="auto" w:fill="000000" w:themeFill="text1"/>
          </w:tcPr>
          <w:p w:rsidR="00FD2C3D" w:rsidRPr="00990A3F" w:rsidRDefault="00FD2C3D" w:rsidP="00306EE8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990A3F">
              <w:rPr>
                <w:rFonts w:asciiTheme="minorHAnsi" w:hAnsiTheme="minorHAnsi" w:cstheme="minorHAnsi"/>
                <w:b/>
                <w:sz w:val="19"/>
                <w:szCs w:val="19"/>
              </w:rPr>
              <w:t>Lote</w:t>
            </w:r>
          </w:p>
        </w:tc>
        <w:tc>
          <w:tcPr>
            <w:tcW w:w="2397" w:type="dxa"/>
            <w:shd w:val="clear" w:color="auto" w:fill="000000" w:themeFill="text1"/>
          </w:tcPr>
          <w:p w:rsidR="00FD2C3D" w:rsidRPr="00990A3F" w:rsidRDefault="00FD2C3D" w:rsidP="00306EE8">
            <w:pPr>
              <w:pStyle w:val="TableParagraph"/>
              <w:spacing w:line="264" w:lineRule="auto"/>
              <w:ind w:left="106" w:right="102" w:hanging="1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990A3F">
              <w:rPr>
                <w:rFonts w:asciiTheme="minorHAnsi" w:hAnsiTheme="minorHAnsi" w:cstheme="minorHAnsi"/>
                <w:b/>
                <w:sz w:val="19"/>
                <w:szCs w:val="19"/>
              </w:rPr>
              <w:t>Descripción</w:t>
            </w:r>
          </w:p>
        </w:tc>
        <w:tc>
          <w:tcPr>
            <w:tcW w:w="5103" w:type="dxa"/>
            <w:shd w:val="clear" w:color="auto" w:fill="000000" w:themeFill="text1"/>
          </w:tcPr>
          <w:p w:rsidR="00FD2C3D" w:rsidRPr="00990A3F" w:rsidRDefault="00FD2C3D" w:rsidP="00306EE8">
            <w:pPr>
              <w:pStyle w:val="TableParagraph"/>
              <w:spacing w:line="264" w:lineRule="auto"/>
              <w:ind w:left="66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990A3F">
              <w:rPr>
                <w:rFonts w:asciiTheme="minorHAnsi" w:hAnsiTheme="minorHAnsi" w:cstheme="minorHAnsi"/>
                <w:b/>
                <w:sz w:val="19"/>
                <w:szCs w:val="19"/>
              </w:rPr>
              <w:t>Descripción Ampliada</w:t>
            </w:r>
          </w:p>
        </w:tc>
        <w:tc>
          <w:tcPr>
            <w:tcW w:w="1134" w:type="dxa"/>
            <w:shd w:val="clear" w:color="auto" w:fill="000000" w:themeFill="text1"/>
          </w:tcPr>
          <w:p w:rsidR="00FD2C3D" w:rsidRPr="00990A3F" w:rsidRDefault="00FD2C3D" w:rsidP="00306EE8">
            <w:pPr>
              <w:pStyle w:val="TableParagraph"/>
              <w:spacing w:line="231" w:lineRule="exact"/>
              <w:ind w:left="184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990A3F">
              <w:rPr>
                <w:rFonts w:asciiTheme="minorHAnsi" w:hAnsiTheme="minorHAnsi" w:cstheme="minorHAnsi"/>
                <w:b/>
                <w:sz w:val="19"/>
                <w:szCs w:val="19"/>
              </w:rPr>
              <w:t>Unidad de medida</w:t>
            </w:r>
          </w:p>
        </w:tc>
        <w:tc>
          <w:tcPr>
            <w:tcW w:w="1275" w:type="dxa"/>
            <w:shd w:val="clear" w:color="auto" w:fill="000000" w:themeFill="text1"/>
          </w:tcPr>
          <w:p w:rsidR="00FD2C3D" w:rsidRPr="00990A3F" w:rsidRDefault="00FD2C3D" w:rsidP="00306EE8">
            <w:pPr>
              <w:pStyle w:val="TableParagraph"/>
              <w:spacing w:line="231" w:lineRule="exact"/>
              <w:ind w:right="-14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990A3F">
              <w:rPr>
                <w:rFonts w:asciiTheme="minorHAnsi" w:hAnsiTheme="minorHAnsi" w:cstheme="minorHAnsi"/>
                <w:b/>
                <w:sz w:val="19"/>
                <w:szCs w:val="19"/>
              </w:rPr>
              <w:t>Cantidad</w:t>
            </w:r>
          </w:p>
        </w:tc>
      </w:tr>
      <w:tr w:rsidR="00FD2C3D" w:rsidRPr="009610A9" w:rsidTr="00306EE8">
        <w:trPr>
          <w:trHeight w:val="525"/>
        </w:trPr>
        <w:tc>
          <w:tcPr>
            <w:tcW w:w="675" w:type="dxa"/>
            <w:vAlign w:val="center"/>
          </w:tcPr>
          <w:p w:rsidR="00FD2C3D" w:rsidRPr="009610A9" w:rsidRDefault="00FD2C3D" w:rsidP="00306EE8">
            <w:pPr>
              <w:pStyle w:val="TableParagraph"/>
              <w:spacing w:before="150"/>
              <w:ind w:left="4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 w:rsidRPr="009610A9">
              <w:rPr>
                <w:rFonts w:asciiTheme="minorHAnsi" w:hAnsiTheme="minorHAnsi" w:cstheme="minorHAnsi"/>
                <w:w w:val="99"/>
                <w:sz w:val="19"/>
                <w:szCs w:val="19"/>
              </w:rPr>
              <w:t>1</w:t>
            </w:r>
          </w:p>
        </w:tc>
        <w:tc>
          <w:tcPr>
            <w:tcW w:w="2397" w:type="dxa"/>
            <w:vAlign w:val="center"/>
          </w:tcPr>
          <w:p w:rsidR="00FD2C3D" w:rsidRPr="009610A9" w:rsidRDefault="00FD2C3D" w:rsidP="00306EE8">
            <w:pPr>
              <w:pStyle w:val="TableParagraph"/>
              <w:spacing w:line="264" w:lineRule="auto"/>
              <w:ind w:left="106" w:right="102" w:hanging="1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Pizarrón Blanco </w:t>
            </w:r>
            <w:proofErr w:type="spellStart"/>
            <w:r>
              <w:rPr>
                <w:rFonts w:asciiTheme="minorHAnsi" w:hAnsiTheme="minorHAnsi" w:cstheme="minorHAnsi"/>
                <w:sz w:val="19"/>
                <w:szCs w:val="19"/>
              </w:rPr>
              <w:t>porcelanizado</w:t>
            </w:r>
            <w:proofErr w:type="spellEnd"/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de 1.20 x 2.40</w:t>
            </w:r>
          </w:p>
        </w:tc>
        <w:tc>
          <w:tcPr>
            <w:tcW w:w="5103" w:type="dxa"/>
          </w:tcPr>
          <w:p w:rsidR="00FD2C3D" w:rsidRPr="000C0A77" w:rsidRDefault="00FD2C3D" w:rsidP="00306EE8">
            <w:pPr>
              <w:pStyle w:val="TableParagraph"/>
              <w:spacing w:line="264" w:lineRule="auto"/>
              <w:ind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Pizarrón blanco rectangular de 2400 mm de longitud, 1200 mm de ancho y 9 mm de espesor,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perimetralmente lleva un marco de aluminio con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portagis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integral. Hoja de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fibracel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duro de 5 mm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de espesor. Hoja de lámina negra rolada en frío cal. 24,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porcelanizado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con esmalte refractario,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unida a la hoja de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fibracel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con adhesivo de contacto. Lleva en la parte posterior mínimo 5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refuerzos verticales de lámina negra galvanizada cal 24 de 1200x89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, (embutidos en el marco</w:t>
            </w:r>
          </w:p>
          <w:p w:rsidR="00FD2C3D" w:rsidRDefault="00FD2C3D" w:rsidP="00306EE8">
            <w:pPr>
              <w:pStyle w:val="TableParagraph"/>
              <w:spacing w:line="264" w:lineRule="auto"/>
              <w:ind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proofErr w:type="gram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perimetral</w:t>
            </w:r>
            <w:proofErr w:type="gram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de aluminio). Lleva un marco perimetral formado con cuatro piezas de aluminio de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sección canal de 11x14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gram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y</w:t>
            </w:r>
            <w:proofErr w:type="gram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1.8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gram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</w:t>
            </w:r>
            <w:proofErr w:type="gram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espesor, ensambladas en sus extremos con corte 45ª, la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sección inferior lleva integrado un porta-gis de 1.5 x 230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cms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., incluye 8 tornillos y 8 taquetes para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su fijación.</w:t>
            </w:r>
          </w:p>
          <w:p w:rsidR="00FD2C3D" w:rsidRDefault="00FD2C3D" w:rsidP="00306EE8">
            <w:pPr>
              <w:pStyle w:val="TableParagraph"/>
              <w:spacing w:line="264" w:lineRule="auto"/>
              <w:ind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Deberá presentar catálogo del bien debidamente referenciado.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Nota: en las medidas se considerará una tolerancia de más menos 10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</w:p>
          <w:p w:rsidR="00FD2C3D" w:rsidRPr="009610A9" w:rsidRDefault="00FD2C3D" w:rsidP="00306EE8">
            <w:pPr>
              <w:pStyle w:val="TableParagraph"/>
              <w:spacing w:line="264" w:lineRule="auto"/>
              <w:ind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Un año de garantía.</w:t>
            </w:r>
          </w:p>
        </w:tc>
        <w:tc>
          <w:tcPr>
            <w:tcW w:w="1134" w:type="dxa"/>
            <w:vAlign w:val="center"/>
          </w:tcPr>
          <w:p w:rsidR="00FD2C3D" w:rsidRPr="009610A9" w:rsidRDefault="00FD2C3D" w:rsidP="00306EE8">
            <w:pPr>
              <w:pStyle w:val="TableParagraph"/>
              <w:spacing w:line="231" w:lineRule="exact"/>
              <w:ind w:left="184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Pieza</w:t>
            </w:r>
          </w:p>
        </w:tc>
        <w:tc>
          <w:tcPr>
            <w:tcW w:w="1275" w:type="dxa"/>
            <w:vAlign w:val="center"/>
          </w:tcPr>
          <w:p w:rsidR="00FD2C3D" w:rsidRPr="009610A9" w:rsidRDefault="00FD2C3D" w:rsidP="00306EE8">
            <w:pPr>
              <w:pStyle w:val="TableParagraph"/>
              <w:spacing w:line="231" w:lineRule="exact"/>
              <w:ind w:left="33" w:right="-14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100</w:t>
            </w:r>
          </w:p>
        </w:tc>
      </w:tr>
      <w:tr w:rsidR="00FD2C3D" w:rsidRPr="009610A9" w:rsidTr="00306EE8">
        <w:trPr>
          <w:trHeight w:val="561"/>
        </w:trPr>
        <w:tc>
          <w:tcPr>
            <w:tcW w:w="675" w:type="dxa"/>
            <w:vAlign w:val="center"/>
          </w:tcPr>
          <w:p w:rsidR="00FD2C3D" w:rsidRPr="009610A9" w:rsidRDefault="00FD2C3D" w:rsidP="00306EE8">
            <w:pPr>
              <w:pStyle w:val="TableParagraph"/>
              <w:spacing w:before="150"/>
              <w:ind w:left="4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 w:rsidRPr="009610A9">
              <w:rPr>
                <w:rFonts w:asciiTheme="minorHAnsi" w:hAnsiTheme="minorHAnsi" w:cstheme="minorHAnsi"/>
                <w:w w:val="99"/>
                <w:sz w:val="19"/>
                <w:szCs w:val="19"/>
              </w:rPr>
              <w:t>2</w:t>
            </w:r>
          </w:p>
        </w:tc>
        <w:tc>
          <w:tcPr>
            <w:tcW w:w="2397" w:type="dxa"/>
            <w:vAlign w:val="center"/>
          </w:tcPr>
          <w:p w:rsidR="00FD2C3D" w:rsidRPr="009610A9" w:rsidRDefault="00FD2C3D" w:rsidP="00306EE8">
            <w:pPr>
              <w:pStyle w:val="TableParagraph"/>
              <w:spacing w:line="264" w:lineRule="auto"/>
              <w:ind w:left="125" w:right="122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Silla de paleta</w:t>
            </w:r>
          </w:p>
        </w:tc>
        <w:tc>
          <w:tcPr>
            <w:tcW w:w="5103" w:type="dxa"/>
          </w:tcPr>
          <w:p w:rsidR="00FD2C3D" w:rsidRPr="000C0A77" w:rsidRDefault="00FD2C3D" w:rsidP="00306EE8">
            <w:pPr>
              <w:pStyle w:val="TableParagraph"/>
              <w:spacing w:line="264" w:lineRule="auto"/>
              <w:ind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Silla de paleta: Asiento - respaldo ergonómico en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olipropileno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color naranja, con resistencia al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impacto, con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aditivación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antiestática y no marcado, texturizados en la cara expuesta (dos piezas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separadas con forma anatómica). La silla tendrá las siguientes medidas: Altura total: 785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,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altura al asiento: 450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, altura a la paleta: 730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, paleta en color negro con doble lapicera en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parte superior y lateral derecho de 420X570X384X139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, en resina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copolimero</w:t>
            </w:r>
            <w:proofErr w:type="spellEnd"/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polipropileno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alta resistencia no marcado con múltiples nervaduras en cara posterior con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adhitivo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antiestática;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patas laterales: 545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, patas frontales: 475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, parrilla del piso al asiento: 210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Respaldo: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proofErr w:type="gram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el</w:t>
            </w:r>
            <w:proofErr w:type="gram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respaldo con medidas de 385x395x260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(Parte 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>s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uperior, inferior y ancho) ensamblado en la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parte post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>erior con 2 remaches tipo “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pop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>”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; de ala corta con espesor de pared de 3.5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gram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con</w:t>
            </w:r>
            <w:proofErr w:type="gram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vena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 soporte a manera de marco perimetral y mínimo con 14 venas de refuerzo. Asiento: el asiento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con medidas de 428x407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, con vena de soporte a manera de canto perimetral en forma de</w:t>
            </w:r>
          </w:p>
          <w:p w:rsidR="00FD2C3D" w:rsidRDefault="00FD2C3D" w:rsidP="00306EE8">
            <w:pPr>
              <w:pStyle w:val="TableParagraph"/>
              <w:spacing w:line="264" w:lineRule="auto"/>
              <w:ind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proofErr w:type="gram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semirizo</w:t>
            </w:r>
            <w:proofErr w:type="spellEnd"/>
            <w:proofErr w:type="gram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boleado y las esquinas redondeadas en la parte posterior llevará 6 orejas con refuerzo a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base de venas para sujeción a la est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>ructura con remaches tipo “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pop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>”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; y en la parte frontal una vena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cajeada, así como 4 venas de refuerzo en la parte frontal y 5 venas posteriores, el asiento cuenta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con un espesor de 3.8mm. Brazo de paleta: en tubular redondo de 25.4mm. (1”) de diámetro,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lámina negra calibre n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>°18, 2 piezas en forma de “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L” en la parte superior para sostener la paleta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llevará doblez en forma de 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>“u”.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Deberá presentar catálogo del bien debidamente referenciado.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lastRenderedPageBreak/>
              <w:t xml:space="preserve">Nota: en las medidas se considerará una tolerancia de más menos 10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</w:p>
          <w:p w:rsidR="00FD2C3D" w:rsidRPr="009610A9" w:rsidRDefault="00FD2C3D" w:rsidP="00306EE8">
            <w:pPr>
              <w:pStyle w:val="TableParagraph"/>
              <w:spacing w:line="264" w:lineRule="auto"/>
              <w:ind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Un año de garantía.</w:t>
            </w:r>
          </w:p>
        </w:tc>
        <w:tc>
          <w:tcPr>
            <w:tcW w:w="1134" w:type="dxa"/>
            <w:vAlign w:val="center"/>
          </w:tcPr>
          <w:p w:rsidR="00FD2C3D" w:rsidRPr="009610A9" w:rsidRDefault="00FD2C3D" w:rsidP="00306EE8">
            <w:pPr>
              <w:pStyle w:val="TableParagraph"/>
              <w:spacing w:line="231" w:lineRule="exact"/>
              <w:ind w:left="184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lastRenderedPageBreak/>
              <w:t>Pieza</w:t>
            </w:r>
          </w:p>
        </w:tc>
        <w:tc>
          <w:tcPr>
            <w:tcW w:w="1275" w:type="dxa"/>
            <w:vAlign w:val="center"/>
          </w:tcPr>
          <w:p w:rsidR="00FD2C3D" w:rsidRPr="00904E64" w:rsidRDefault="00FD2C3D" w:rsidP="00306EE8">
            <w:pPr>
              <w:tabs>
                <w:tab w:val="left" w:pos="832"/>
              </w:tabs>
              <w:ind w:left="33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6668</w:t>
            </w:r>
          </w:p>
        </w:tc>
      </w:tr>
      <w:tr w:rsidR="00FD2C3D" w:rsidRPr="009610A9" w:rsidTr="00306EE8">
        <w:trPr>
          <w:trHeight w:val="555"/>
        </w:trPr>
        <w:tc>
          <w:tcPr>
            <w:tcW w:w="675" w:type="dxa"/>
            <w:vAlign w:val="center"/>
          </w:tcPr>
          <w:p w:rsidR="00FD2C3D" w:rsidRPr="009610A9" w:rsidRDefault="00FD2C3D" w:rsidP="00306EE8">
            <w:pPr>
              <w:pStyle w:val="TableParagraph"/>
              <w:ind w:left="4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 w:rsidRPr="009610A9">
              <w:rPr>
                <w:rFonts w:asciiTheme="minorHAnsi" w:hAnsiTheme="minorHAnsi" w:cstheme="minorHAnsi"/>
                <w:w w:val="99"/>
                <w:sz w:val="19"/>
                <w:szCs w:val="19"/>
              </w:rPr>
              <w:t>3</w:t>
            </w:r>
          </w:p>
        </w:tc>
        <w:tc>
          <w:tcPr>
            <w:tcW w:w="2397" w:type="dxa"/>
            <w:vAlign w:val="center"/>
          </w:tcPr>
          <w:p w:rsidR="00FD2C3D" w:rsidRPr="009610A9" w:rsidRDefault="00FD2C3D" w:rsidP="00306EE8">
            <w:pPr>
              <w:pStyle w:val="TableParagraph"/>
              <w:spacing w:line="264" w:lineRule="auto"/>
              <w:ind w:left="125" w:right="121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Mesa para preescolar</w:t>
            </w:r>
          </w:p>
        </w:tc>
        <w:tc>
          <w:tcPr>
            <w:tcW w:w="5103" w:type="dxa"/>
          </w:tcPr>
          <w:p w:rsidR="00FD2C3D" w:rsidRPr="000C0A77" w:rsidRDefault="00FD2C3D" w:rsidP="00306EE8">
            <w:pPr>
              <w:pStyle w:val="TableParagraph"/>
              <w:spacing w:line="264" w:lineRule="auto"/>
              <w:ind w:right="102" w:hanging="1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Descripción: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right="102" w:hanging="1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Mesa con cubierta de polipropileno color naranja inyectado y estructura de acero en perfil tubular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electrosoldado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, mide 800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gram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</w:t>
            </w:r>
            <w:proofErr w:type="gram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largo, 600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gram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</w:t>
            </w:r>
            <w:proofErr w:type="gram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ancho y 500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gram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</w:t>
            </w:r>
            <w:proofErr w:type="gram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altura total.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right="102" w:hanging="1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Elementos y materiales.-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right="102" w:hanging="1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Cubierta: se fabrica en forma rectangular con laterales perimetrales y refuerzos centrales en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forma de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enrejillado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triangular rómbico todo integrado en una sola pieza inyectada en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polipropileno color naranja de alto impacto de 3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gram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</w:t>
            </w:r>
            <w:proofErr w:type="gram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espesor. (</w:t>
            </w:r>
            <w:proofErr w:type="gram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el</w:t>
            </w:r>
            <w:proofErr w:type="gram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enrejillado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puede ser de la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forma de cada fabricante), con esquinas redondeadas.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right="102" w:hanging="1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Estructura: patas fabricadas de perfil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electrosoldado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de sección cuadrada de 1” y marco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perimetral con dimensiones de 2x1” cal. no. 18, formado por dos transversales y dos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longitudinales, unidos a las patas por medio de cordones de soldadura en todo el perímetro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utilizando para la fijación de dichas partes soldadura sistema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mig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(metal inter gas) de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microalambre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que no deja escoria, va en cada pata un regatón de polipropileno de alta densidad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embutido.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right="102" w:hanging="1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Elementos de fijación: 8 remaches tipo “pop” de 3/16 x 9 x 14” de agarre 4 regatones de plástico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 alto impacto color negro. (La fijación puede ser la que cada fabricante utilice siempre y cuando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garantice dicha fijación).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right="102" w:hanging="1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Acabados: pintura termoplástica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micropulverizada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, color negro, la cual deberá ser aplicada con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equipo electrostático y horneada a 200°c, antes del proceso de pintado se deberá someter a un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proceso de desengrasado y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fosfatizado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right="102" w:hanging="1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Deberá presentar catálogo en donde se muestre el bien, debidamente referenciado.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right="102" w:hanging="1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Nota: en las medidas se considerará una tolerancia de más menos 10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</w:p>
          <w:p w:rsidR="00FD2C3D" w:rsidRPr="009610A9" w:rsidRDefault="00FD2C3D" w:rsidP="00306EE8">
            <w:pPr>
              <w:pStyle w:val="TableParagraph"/>
              <w:spacing w:line="264" w:lineRule="auto"/>
              <w:ind w:right="102" w:hanging="1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Un año de garantía.</w:t>
            </w:r>
          </w:p>
        </w:tc>
        <w:tc>
          <w:tcPr>
            <w:tcW w:w="1134" w:type="dxa"/>
            <w:vAlign w:val="center"/>
          </w:tcPr>
          <w:p w:rsidR="00FD2C3D" w:rsidRPr="009610A9" w:rsidRDefault="00FD2C3D" w:rsidP="00306EE8">
            <w:pPr>
              <w:pStyle w:val="TableParagraph"/>
              <w:spacing w:line="231" w:lineRule="exact"/>
              <w:ind w:left="33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Pieza</w:t>
            </w:r>
          </w:p>
        </w:tc>
        <w:tc>
          <w:tcPr>
            <w:tcW w:w="1275" w:type="dxa"/>
            <w:vAlign w:val="center"/>
          </w:tcPr>
          <w:p w:rsidR="00FD2C3D" w:rsidRPr="009610A9" w:rsidRDefault="00FD2C3D" w:rsidP="00306EE8">
            <w:pPr>
              <w:pStyle w:val="TableParagraph"/>
              <w:spacing w:line="231" w:lineRule="exact"/>
              <w:ind w:left="33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702</w:t>
            </w:r>
          </w:p>
        </w:tc>
      </w:tr>
      <w:tr w:rsidR="00FD2C3D" w:rsidRPr="009610A9" w:rsidTr="00306EE8">
        <w:trPr>
          <w:trHeight w:val="539"/>
        </w:trPr>
        <w:tc>
          <w:tcPr>
            <w:tcW w:w="675" w:type="dxa"/>
            <w:vAlign w:val="center"/>
          </w:tcPr>
          <w:p w:rsidR="00FD2C3D" w:rsidRPr="000C0A77" w:rsidRDefault="00FD2C3D" w:rsidP="00306EE8">
            <w:pPr>
              <w:pStyle w:val="TableParagraph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4</w:t>
            </w:r>
          </w:p>
        </w:tc>
        <w:tc>
          <w:tcPr>
            <w:tcW w:w="2397" w:type="dxa"/>
            <w:vAlign w:val="center"/>
          </w:tcPr>
          <w:p w:rsidR="00FD2C3D" w:rsidRPr="009610A9" w:rsidRDefault="00FD2C3D" w:rsidP="00306EE8">
            <w:pPr>
              <w:pStyle w:val="TableParagraph"/>
              <w:spacing w:line="264" w:lineRule="auto"/>
              <w:ind w:left="125" w:right="121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Silla para preescolar</w:t>
            </w:r>
          </w:p>
        </w:tc>
        <w:tc>
          <w:tcPr>
            <w:tcW w:w="5103" w:type="dxa"/>
          </w:tcPr>
          <w:p w:rsidR="00FD2C3D" w:rsidRPr="000C0A77" w:rsidRDefault="00FD2C3D" w:rsidP="00306EE8">
            <w:pPr>
              <w:pStyle w:val="TableParagraph"/>
              <w:spacing w:line="264" w:lineRule="auto"/>
              <w:ind w:left="33"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Descripción: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left="33"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Silla para jardín de niños, asiento y respaldo inyectados en una concha de polipropileno color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naranja, sobre receptores en forma de canal calibre no. 18, estructura y refuerzos metálicos con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regatones de polipropileno.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left="33"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Asiento y respaldo: de diseño anatómico de una sola pieza de polipropileno inyectado color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naranja, con múltiples nervaduras integradas del mismo material, sobre receptores en forma de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canal calibre no. 18. Y/o en forma de “Z”. Estructura y refuerzos metálicos con regatones de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polipropileno.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left="33"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Altura del asiento incluye el regatón: 27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cms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left="33"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Altura del respaldo incluye el regatón: 53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cms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left="33"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Estructura: formada por 2 asnillas en forma de “u” redondo de 18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 (3/4”) de diámetro calibre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no. 18 refuerzos laterales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lastRenderedPageBreak/>
              <w:t>en lámina de acero calibre no. 18 por la parte superior, las asnillas se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unen a dos piezas especiales en forma de seta (Z) de cal. 18 que a su vez sirven para recibir la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concha integral. En cada extremo de las asnillas (patas) va un regatón de polipropileno de alto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impacto, embutido y pegado con adhesivo de contacto.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left="33"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Elementos de fijación: 4 remaches sds-86 (1/4” x 5/8”) para la fijación de la concha, 4 regatones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 polipropileno de alto impacto para embutir en tubo.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left="33"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Acabados: pintura termoplástica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micropulverizada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, color negro, la cual deberá ser aplicada con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equipo electrostático y horneada a 200°c, antes del proceso de pintado se deberá someter a un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proceso de desengrasado y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fosfatizado</w:t>
            </w:r>
            <w:proofErr w:type="spellEnd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left="33"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Deberá presentar catálogo del bien debidamente referenciado.</w:t>
            </w:r>
          </w:p>
          <w:p w:rsidR="00FD2C3D" w:rsidRPr="000C0A77" w:rsidRDefault="00FD2C3D" w:rsidP="00306EE8">
            <w:pPr>
              <w:pStyle w:val="TableParagraph"/>
              <w:spacing w:line="264" w:lineRule="auto"/>
              <w:ind w:left="33"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 xml:space="preserve">Nota: en las medidas se considerará una tolerancia de más menos 10 </w:t>
            </w:r>
            <w:proofErr w:type="spellStart"/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mm.</w:t>
            </w:r>
            <w:proofErr w:type="spellEnd"/>
          </w:p>
          <w:p w:rsidR="00FD2C3D" w:rsidRPr="009610A9" w:rsidRDefault="00FD2C3D" w:rsidP="00306EE8">
            <w:pPr>
              <w:pStyle w:val="TableParagraph"/>
              <w:spacing w:line="264" w:lineRule="auto"/>
              <w:ind w:left="33" w:right="10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0C0A77">
              <w:rPr>
                <w:rFonts w:asciiTheme="minorHAnsi" w:hAnsiTheme="minorHAnsi" w:cstheme="minorHAnsi"/>
                <w:sz w:val="19"/>
                <w:szCs w:val="19"/>
              </w:rPr>
              <w:t>Un año de garantía.</w:t>
            </w:r>
          </w:p>
        </w:tc>
        <w:tc>
          <w:tcPr>
            <w:tcW w:w="1134" w:type="dxa"/>
            <w:vAlign w:val="center"/>
          </w:tcPr>
          <w:p w:rsidR="00FD2C3D" w:rsidRPr="009610A9" w:rsidRDefault="00FD2C3D" w:rsidP="00306EE8">
            <w:pPr>
              <w:pStyle w:val="TableParagraph"/>
              <w:spacing w:line="231" w:lineRule="exact"/>
              <w:ind w:left="184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lastRenderedPageBreak/>
              <w:t>Pieza</w:t>
            </w:r>
          </w:p>
        </w:tc>
        <w:tc>
          <w:tcPr>
            <w:tcW w:w="1275" w:type="dxa"/>
            <w:vAlign w:val="center"/>
          </w:tcPr>
          <w:p w:rsidR="00FD2C3D" w:rsidRPr="009610A9" w:rsidRDefault="00FD2C3D" w:rsidP="00306EE8">
            <w:pPr>
              <w:pStyle w:val="TableParagraph"/>
              <w:spacing w:line="231" w:lineRule="exact"/>
              <w:ind w:left="33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1404</w:t>
            </w:r>
          </w:p>
        </w:tc>
      </w:tr>
    </w:tbl>
    <w:p w:rsidR="00B955B9" w:rsidRDefault="00B955B9">
      <w:bookmarkStart w:id="0" w:name="_GoBack"/>
      <w:bookmarkEnd w:id="0"/>
    </w:p>
    <w:sectPr w:rsidR="00B955B9" w:rsidSect="00FD2C3D">
      <w:pgSz w:w="12240" w:h="15840" w:code="1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3D"/>
    <w:rsid w:val="00B955B9"/>
    <w:rsid w:val="00FD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84E02-74C0-41B7-A833-4FB1E142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D2C3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D2C3D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59"/>
    <w:rsid w:val="00FD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937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2020-12-09T18:05:00Z</dcterms:created>
  <dcterms:modified xsi:type="dcterms:W3CDTF">2020-12-09T18:07:00Z</dcterms:modified>
</cp:coreProperties>
</file>