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3575"/>
        <w:gridCol w:w="1396"/>
        <w:gridCol w:w="1456"/>
        <w:gridCol w:w="4669"/>
      </w:tblGrid>
      <w:tr w:rsidR="00716082" w:rsidRPr="009D1EA1" w:rsidTr="00EE2B23">
        <w:trPr>
          <w:trHeight w:val="141"/>
        </w:trPr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716082" w:rsidRPr="009D1EA1" w:rsidRDefault="00716082" w:rsidP="00716082">
            <w:pPr>
              <w:spacing w:line="192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D1EA1">
              <w:rPr>
                <w:rFonts w:ascii="Arial" w:hAnsi="Arial" w:cs="Arial"/>
                <w:b/>
                <w:sz w:val="18"/>
                <w:szCs w:val="18"/>
              </w:rPr>
              <w:t>E V E N T O S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716082" w:rsidRPr="009D1EA1" w:rsidRDefault="00716082" w:rsidP="000D7824">
            <w:pPr>
              <w:spacing w:line="192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D1EA1">
              <w:rPr>
                <w:rFonts w:ascii="Arial" w:hAnsi="Arial" w:cs="Arial"/>
                <w:b/>
                <w:sz w:val="18"/>
                <w:szCs w:val="18"/>
              </w:rPr>
              <w:t>F E C H A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716082" w:rsidRPr="009D1EA1" w:rsidRDefault="00716082" w:rsidP="000D7824">
            <w:pPr>
              <w:snapToGrid w:val="0"/>
              <w:spacing w:line="192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D1EA1">
              <w:rPr>
                <w:rFonts w:ascii="Arial" w:hAnsi="Arial" w:cs="Arial"/>
                <w:b/>
                <w:sz w:val="18"/>
                <w:szCs w:val="18"/>
              </w:rPr>
              <w:t>H O R A</w:t>
            </w:r>
          </w:p>
        </w:tc>
        <w:tc>
          <w:tcPr>
            <w:tcW w:w="2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16082" w:rsidRPr="009D1EA1" w:rsidRDefault="00716082" w:rsidP="00716082">
            <w:pPr>
              <w:snapToGrid w:val="0"/>
              <w:spacing w:line="192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D1EA1">
              <w:rPr>
                <w:rFonts w:ascii="Arial" w:hAnsi="Arial" w:cs="Arial"/>
                <w:b/>
                <w:sz w:val="18"/>
                <w:szCs w:val="18"/>
              </w:rPr>
              <w:t>L U G A R</w:t>
            </w:r>
          </w:p>
        </w:tc>
      </w:tr>
      <w:tr w:rsidR="00716082" w:rsidRPr="009D1EA1" w:rsidTr="00EE2B23"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6082" w:rsidRPr="009D1EA1" w:rsidRDefault="00716082" w:rsidP="000D7824">
            <w:pPr>
              <w:spacing w:line="192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D1EA1">
              <w:rPr>
                <w:rFonts w:ascii="Arial" w:hAnsi="Arial" w:cs="Arial"/>
                <w:sz w:val="18"/>
                <w:szCs w:val="18"/>
                <w:highlight w:val="yellow"/>
              </w:rPr>
              <w:t xml:space="preserve">Periodo de entrega de muestras 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082" w:rsidRPr="009D1EA1" w:rsidRDefault="00716082" w:rsidP="000D7824">
            <w:pPr>
              <w:spacing w:line="192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1EA1">
              <w:rPr>
                <w:rFonts w:ascii="Arial" w:hAnsi="Arial" w:cs="Arial"/>
                <w:sz w:val="18"/>
                <w:szCs w:val="18"/>
                <w:highlight w:val="yellow"/>
              </w:rPr>
              <w:t>Del 09/06/</w:t>
            </w:r>
            <w:proofErr w:type="gramStart"/>
            <w:r w:rsidRPr="009D1EA1">
              <w:rPr>
                <w:rFonts w:ascii="Arial" w:hAnsi="Arial" w:cs="Arial"/>
                <w:sz w:val="18"/>
                <w:szCs w:val="18"/>
                <w:highlight w:val="yellow"/>
              </w:rPr>
              <w:t>21  al</w:t>
            </w:r>
            <w:proofErr w:type="gramEnd"/>
            <w:r w:rsidRPr="009D1EA1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1</w:t>
            </w:r>
            <w:r w:rsidR="00A50F2B">
              <w:rPr>
                <w:rFonts w:ascii="Arial" w:hAnsi="Arial" w:cs="Arial"/>
                <w:sz w:val="18"/>
                <w:szCs w:val="18"/>
                <w:highlight w:val="yellow"/>
              </w:rPr>
              <w:t>0</w:t>
            </w:r>
            <w:bookmarkStart w:id="0" w:name="_GoBack"/>
            <w:bookmarkEnd w:id="0"/>
            <w:r w:rsidRPr="009D1EA1">
              <w:rPr>
                <w:rFonts w:ascii="Arial" w:hAnsi="Arial" w:cs="Arial"/>
                <w:sz w:val="18"/>
                <w:szCs w:val="18"/>
                <w:highlight w:val="yellow"/>
              </w:rPr>
              <w:t>/06/21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082" w:rsidRPr="009D1EA1" w:rsidRDefault="00716082" w:rsidP="000D7824">
            <w:pPr>
              <w:snapToGrid w:val="0"/>
              <w:spacing w:line="192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1EA1">
              <w:rPr>
                <w:rFonts w:ascii="Arial" w:hAnsi="Arial" w:cs="Arial"/>
                <w:sz w:val="18"/>
                <w:szCs w:val="18"/>
                <w:highlight w:val="yellow"/>
              </w:rPr>
              <w:t>De 08:00 AM 04:00 PM</w:t>
            </w:r>
          </w:p>
        </w:tc>
        <w:tc>
          <w:tcPr>
            <w:tcW w:w="210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16082" w:rsidRPr="009D1EA1" w:rsidRDefault="00716082" w:rsidP="000D7824">
            <w:pPr>
              <w:snapToGrid w:val="0"/>
              <w:spacing w:line="192" w:lineRule="atLeas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716082" w:rsidRPr="009D1EA1" w:rsidRDefault="00716082" w:rsidP="00716082">
            <w:pPr>
              <w:snapToGrid w:val="0"/>
              <w:spacing w:line="192" w:lineRule="atLeast"/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es-MX"/>
              </w:rPr>
            </w:pPr>
            <w:r w:rsidRPr="009D1EA1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Coordinación de Abastecimiento y Equipamiento,</w:t>
            </w:r>
            <w:r w:rsidRPr="009D1EA1">
              <w:rPr>
                <w:rFonts w:ascii="Arial" w:hAnsi="Arial" w:cs="Arial"/>
                <w:bCs/>
                <w:sz w:val="18"/>
                <w:szCs w:val="18"/>
                <w:lang w:val="es-MX"/>
              </w:rPr>
              <w:t xml:space="preserve"> ubicada en Libramiento Sur de Tapachula Km. 4.0 Colonia Parque Industrial Los Mangos, C.P. 30796, Tapachula de Córdova y Ordóñez, Chiapas</w:t>
            </w:r>
            <w:r w:rsidRPr="009D1EA1">
              <w:rPr>
                <w:rFonts w:ascii="Arial" w:hAnsi="Arial" w:cs="Arial"/>
                <w:i/>
                <w:sz w:val="18"/>
                <w:szCs w:val="18"/>
                <w:lang w:val="es-MX"/>
              </w:rPr>
              <w:t xml:space="preserve">. </w:t>
            </w:r>
          </w:p>
        </w:tc>
      </w:tr>
      <w:tr w:rsidR="00716082" w:rsidRPr="009D1EA1" w:rsidTr="00EE2B23"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6082" w:rsidRPr="009D1EA1" w:rsidRDefault="00716082" w:rsidP="000D7824">
            <w:pPr>
              <w:spacing w:line="192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16082" w:rsidRPr="009D1EA1" w:rsidRDefault="00716082" w:rsidP="000D7824">
            <w:pPr>
              <w:spacing w:line="192" w:lineRule="atLeast"/>
              <w:jc w:val="both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9D1EA1">
              <w:rPr>
                <w:rFonts w:ascii="Arial" w:hAnsi="Arial" w:cs="Arial"/>
                <w:sz w:val="18"/>
                <w:szCs w:val="18"/>
              </w:rPr>
              <w:t>Acto de Presentación y Apertura de Proposiciones.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082" w:rsidRPr="009D1EA1" w:rsidRDefault="00716082" w:rsidP="000D7824">
            <w:pPr>
              <w:snapToGrid w:val="0"/>
              <w:spacing w:line="192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16082" w:rsidRPr="009D1EA1" w:rsidRDefault="00716082" w:rsidP="000D7824">
            <w:pPr>
              <w:spacing w:line="192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1EA1">
              <w:rPr>
                <w:rFonts w:ascii="Arial" w:hAnsi="Arial" w:cs="Arial"/>
                <w:sz w:val="18"/>
                <w:szCs w:val="18"/>
              </w:rPr>
              <w:t>14/06/2021</w:t>
            </w:r>
          </w:p>
          <w:p w:rsidR="00716082" w:rsidRPr="009D1EA1" w:rsidRDefault="00716082" w:rsidP="000D7824">
            <w:pPr>
              <w:spacing w:line="192" w:lineRule="atLeast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082" w:rsidRPr="009D1EA1" w:rsidRDefault="00716082" w:rsidP="000D7824">
            <w:pPr>
              <w:snapToGrid w:val="0"/>
              <w:spacing w:line="192" w:lineRule="atLeast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9D1EA1">
              <w:rPr>
                <w:rFonts w:ascii="Arial" w:hAnsi="Arial" w:cs="Arial"/>
                <w:sz w:val="18"/>
                <w:szCs w:val="18"/>
              </w:rPr>
              <w:t>12:00 PM</w:t>
            </w:r>
          </w:p>
        </w:tc>
        <w:tc>
          <w:tcPr>
            <w:tcW w:w="210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6082" w:rsidRPr="009D1EA1" w:rsidRDefault="00716082" w:rsidP="000D7824">
            <w:pPr>
              <w:snapToGrid w:val="0"/>
              <w:spacing w:line="192" w:lineRule="atLeas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16082" w:rsidRPr="009D1EA1" w:rsidTr="00EE2B23">
        <w:trPr>
          <w:trHeight w:val="348"/>
        </w:trPr>
        <w:tc>
          <w:tcPr>
            <w:tcW w:w="16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6082" w:rsidRPr="009D1EA1" w:rsidRDefault="00716082" w:rsidP="007160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D1EA1">
              <w:rPr>
                <w:rFonts w:ascii="Arial" w:hAnsi="Arial" w:cs="Arial"/>
                <w:sz w:val="18"/>
                <w:szCs w:val="18"/>
              </w:rPr>
              <w:t>Fallo</w:t>
            </w:r>
          </w:p>
          <w:p w:rsidR="00716082" w:rsidRPr="009D1EA1" w:rsidRDefault="00716082" w:rsidP="007160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082" w:rsidRPr="009D1EA1" w:rsidRDefault="00716082" w:rsidP="0071608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1EA1">
              <w:rPr>
                <w:rFonts w:ascii="Arial" w:hAnsi="Arial" w:cs="Arial"/>
                <w:sz w:val="18"/>
                <w:szCs w:val="18"/>
              </w:rPr>
              <w:t>22/06/2021</w:t>
            </w:r>
          </w:p>
          <w:p w:rsidR="00716082" w:rsidRPr="009D1EA1" w:rsidRDefault="00716082" w:rsidP="0071608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16082" w:rsidRPr="009D1EA1" w:rsidRDefault="00716082" w:rsidP="00716082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1EA1">
              <w:rPr>
                <w:rFonts w:ascii="Arial" w:hAnsi="Arial" w:cs="Arial"/>
                <w:sz w:val="18"/>
                <w:szCs w:val="18"/>
              </w:rPr>
              <w:t>04:00 PM</w:t>
            </w:r>
          </w:p>
        </w:tc>
        <w:tc>
          <w:tcPr>
            <w:tcW w:w="210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16082" w:rsidRPr="009D1EA1" w:rsidRDefault="00716082" w:rsidP="00716082">
            <w:pPr>
              <w:snapToGrid w:val="0"/>
              <w:spacing w:line="192" w:lineRule="atLeast"/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</w:pPr>
          </w:p>
        </w:tc>
      </w:tr>
      <w:tr w:rsidR="00716082" w:rsidRPr="009D1EA1" w:rsidTr="00EE2B23"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6082" w:rsidRPr="009D1EA1" w:rsidRDefault="00716082" w:rsidP="000D7824">
            <w:pPr>
              <w:spacing w:line="192" w:lineRule="atLeast"/>
              <w:rPr>
                <w:rFonts w:ascii="Arial" w:hAnsi="Arial" w:cs="Arial"/>
                <w:sz w:val="18"/>
                <w:szCs w:val="18"/>
              </w:rPr>
            </w:pPr>
            <w:r w:rsidRPr="009D1EA1">
              <w:rPr>
                <w:rFonts w:ascii="Arial" w:hAnsi="Arial" w:cs="Arial"/>
                <w:sz w:val="18"/>
                <w:szCs w:val="18"/>
              </w:rPr>
              <w:t>Forma de Presentación de las Proposiciones.</w:t>
            </w:r>
          </w:p>
        </w:tc>
        <w:tc>
          <w:tcPr>
            <w:tcW w:w="3389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16082" w:rsidRPr="009D1EA1" w:rsidRDefault="00716082" w:rsidP="000D7824">
            <w:pPr>
              <w:snapToGrid w:val="0"/>
              <w:spacing w:line="192" w:lineRule="atLeast"/>
              <w:rPr>
                <w:rFonts w:ascii="Arial" w:hAnsi="Arial" w:cs="Arial"/>
                <w:sz w:val="18"/>
                <w:szCs w:val="18"/>
              </w:rPr>
            </w:pPr>
            <w:r w:rsidRPr="009D1EA1">
              <w:rPr>
                <w:rFonts w:ascii="Arial" w:hAnsi="Arial" w:cs="Arial"/>
                <w:sz w:val="18"/>
                <w:szCs w:val="18"/>
              </w:rPr>
              <w:t xml:space="preserve">Electrónica </w:t>
            </w:r>
          </w:p>
          <w:p w:rsidR="00716082" w:rsidRPr="009D1EA1" w:rsidRDefault="00716082" w:rsidP="000D7824">
            <w:pPr>
              <w:spacing w:line="192" w:lineRule="atLeast"/>
              <w:rPr>
                <w:rFonts w:ascii="Arial" w:hAnsi="Arial" w:cs="Arial"/>
                <w:sz w:val="18"/>
                <w:szCs w:val="18"/>
              </w:rPr>
            </w:pPr>
            <w:r w:rsidRPr="009D1EA1">
              <w:rPr>
                <w:rFonts w:ascii="Arial" w:hAnsi="Arial" w:cs="Arial"/>
                <w:sz w:val="18"/>
                <w:szCs w:val="18"/>
              </w:rPr>
              <w:t xml:space="preserve">(Artículo 26 Bis fracción II, de la LAASSP), </w:t>
            </w:r>
            <w:r w:rsidRPr="009D1EA1">
              <w:rPr>
                <w:rFonts w:ascii="Arial" w:hAnsi="Arial" w:cs="Arial"/>
                <w:b/>
                <w:sz w:val="18"/>
                <w:szCs w:val="18"/>
              </w:rPr>
              <w:t>no se reciben proposiciones de manera presencial, a través de servicio postal o mensajería.</w:t>
            </w:r>
          </w:p>
        </w:tc>
      </w:tr>
    </w:tbl>
    <w:p w:rsidR="005B76DD" w:rsidRDefault="005B76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588"/>
        <w:gridCol w:w="615"/>
        <w:gridCol w:w="715"/>
        <w:gridCol w:w="6840"/>
        <w:gridCol w:w="1398"/>
      </w:tblGrid>
      <w:tr w:rsidR="00127FCE" w:rsidRPr="009D1EA1" w:rsidTr="009D1EA1">
        <w:trPr>
          <w:trHeight w:val="359"/>
          <w:tblHeader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27FCE" w:rsidRPr="009D1EA1" w:rsidRDefault="00127FCE" w:rsidP="00AD7A2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9D1EA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>PARTIDA</w:t>
            </w:r>
          </w:p>
          <w:p w:rsidR="00127FCE" w:rsidRPr="009D1EA1" w:rsidRDefault="00127FCE" w:rsidP="00AD7A2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27FCE" w:rsidRPr="009D1EA1" w:rsidRDefault="00127FCE" w:rsidP="00AD7A24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proofErr w:type="spellStart"/>
            <w:r w:rsidRPr="009D1EA1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Gpo</w:t>
            </w:r>
            <w:proofErr w:type="spellEnd"/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27FCE" w:rsidRPr="009D1EA1" w:rsidRDefault="00127FCE" w:rsidP="00AD7A24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r w:rsidRPr="009D1EA1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Gen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27FCE" w:rsidRPr="009D1EA1" w:rsidRDefault="00127FCE" w:rsidP="00AD7A24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</w:pPr>
            <w:proofErr w:type="spellStart"/>
            <w:r w:rsidRPr="009D1EA1">
              <w:rPr>
                <w:rFonts w:ascii="Arial" w:hAnsi="Arial" w:cs="Arial"/>
                <w:b/>
                <w:bCs/>
                <w:sz w:val="16"/>
                <w:szCs w:val="16"/>
                <w:lang w:val="es-MX" w:eastAsia="es-MX"/>
              </w:rPr>
              <w:t>Esp</w:t>
            </w:r>
            <w:proofErr w:type="spellEnd"/>
          </w:p>
        </w:tc>
        <w:tc>
          <w:tcPr>
            <w:tcW w:w="3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27FCE" w:rsidRPr="009D1EA1" w:rsidRDefault="00127FCE" w:rsidP="00AD7A2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9D1EA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  <w:t xml:space="preserve">Descripción 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27FCE" w:rsidRPr="009D1EA1" w:rsidRDefault="00127FCE" w:rsidP="00AD7A2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9D1EA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  <w:t xml:space="preserve">CANTIDAD  </w:t>
            </w:r>
          </w:p>
        </w:tc>
      </w:tr>
      <w:tr w:rsidR="00127FCE" w:rsidRPr="00127FCE" w:rsidTr="00EE2B23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CE" w:rsidRPr="00EE2B23" w:rsidRDefault="00127FCE" w:rsidP="00AD7A24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9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CE" w:rsidRPr="00EE2B23" w:rsidRDefault="00127FCE" w:rsidP="00AD7A24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CE" w:rsidRPr="00EE2B23" w:rsidRDefault="00127FCE" w:rsidP="00AD7A24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814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FCE" w:rsidRPr="00EE2B23" w:rsidRDefault="00127FCE" w:rsidP="00AD7A24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0101</w:t>
            </w:r>
          </w:p>
        </w:tc>
        <w:tc>
          <w:tcPr>
            <w:tcW w:w="3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7FCE" w:rsidRDefault="00EE2B23" w:rsidP="00DA5CED">
            <w:pPr>
              <w:suppressAutoHyphens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Silla fija apilable con estructura de trineo de 50.6 x 54.7 x 82.0 cm. De </w:t>
            </w:r>
            <w:proofErr w:type="gram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altura  en</w:t>
            </w:r>
            <w:proofErr w:type="gram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el respaldo, con asiento y respaldo en dos piezas, ambas fabricadas en  polipropileno inyectado de alto impacto, con acabado texturizado y tratamiento antiestático. De 4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mm.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De espesor de pared como mínimo y diseño anatomícele respaldo deberá ser diseñado para insertarse en la parte superior de la estructura,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asi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mismo, deberá incluir un saque para sujetarse con la mano.  Asiento y respaldo deberán ser diseñados con una moldura perimetral integral en forma de engargolado,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para formar estructura. El asiento deberá tener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preparaciones para fijarse a la estructura a base de </w:t>
            </w:r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tornillos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(no pijas). La estructura deberá ser fabricada con dise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ñ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o de trineo, con varilla de </w:t>
            </w:r>
            <w:proofErr w:type="gram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acero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cold</w:t>
            </w:r>
            <w:proofErr w:type="gram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-rolled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calidad 1018 de 12.7 mm (1/2") de diámetro, formando marcos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laterales (izquierdo y derecho). Con un refuerzo </w:t>
            </w:r>
            <w:r w:rsidRPr="00EE2B23">
              <w:rPr>
                <w:rFonts w:ascii="Arial" w:hAnsi="Arial" w:cs="Arial"/>
                <w:b/>
                <w:color w:val="FF0000"/>
                <w:sz w:val="18"/>
                <w:szCs w:val="18"/>
                <w:lang w:val="es-MX" w:eastAsia="es-MX"/>
              </w:rPr>
              <w:t>frontal</w:t>
            </w:r>
            <w:r w:rsidR="00127FCE"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y un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refuerzo</w:t>
            </w:r>
            <w:r w:rsidR="00DA5CED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posterior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(zona del respaldo). En la parte de contacto con el piso se </w:t>
            </w:r>
            <w:r w:rsidR="00DA5CED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D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eberán</w:t>
            </w:r>
            <w:r w:rsidR="00DA5CED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colocar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regatones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fijos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antiderrapantes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del mismo material del asiento </w:t>
            </w:r>
            <w:proofErr w:type="gram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y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respaldo</w:t>
            </w:r>
            <w:proofErr w:type="gram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, con las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características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de los materiales, acabados, dise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ñ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o,</w:t>
            </w:r>
            <w:r w:rsidR="00DA5CED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dimensiones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específicas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y especificaciones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técnicas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generales y particulares</w:t>
            </w:r>
            <w:r w:rsidR="00DA5CED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contenidas en el documento normativo correspondiente ncb-2005.</w:t>
            </w:r>
          </w:p>
          <w:p w:rsidR="009D1EA1" w:rsidRPr="00EE2B23" w:rsidRDefault="009D1EA1" w:rsidP="00DA5CED">
            <w:pPr>
              <w:suppressAutoHyphens w:val="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FCE" w:rsidRPr="00127FCE" w:rsidRDefault="009D1EA1" w:rsidP="00AD7A24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2EB8F5F1">
                  <wp:simplePos x="0" y="0"/>
                  <wp:positionH relativeFrom="column">
                    <wp:posOffset>-116205</wp:posOffset>
                  </wp:positionH>
                  <wp:positionV relativeFrom="paragraph">
                    <wp:posOffset>878840</wp:posOffset>
                  </wp:positionV>
                  <wp:extent cx="958215" cy="7524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" cy="752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7FCE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1672</w:t>
            </w:r>
          </w:p>
        </w:tc>
      </w:tr>
      <w:tr w:rsidR="00EE2B23" w:rsidRPr="00127FCE" w:rsidTr="00EE2B23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2B23" w:rsidRPr="00EE2B23" w:rsidRDefault="00EE2B23" w:rsidP="000D7824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6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2B23" w:rsidRPr="00EE2B23" w:rsidRDefault="00EE2B23" w:rsidP="000D7824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2B23" w:rsidRPr="00EE2B23" w:rsidRDefault="00EE2B23" w:rsidP="000D7824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619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2B23" w:rsidRPr="00EE2B23" w:rsidRDefault="00EE2B23" w:rsidP="000D7824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1513</w:t>
            </w:r>
          </w:p>
        </w:tc>
        <w:tc>
          <w:tcPr>
            <w:tcW w:w="30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2B23" w:rsidRDefault="00EE2B23" w:rsidP="00EE2B23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Mesa trapezoidal modular,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áreas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o locales de uso: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áreas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de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capacitación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; dimensiones generales: base menor</w:t>
            </w:r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>: 49 cm., base mayor: 105 cm., ancho o profundidad: 50 cm., altura: 75cm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.; capacidad del carga 200 kg; 1.-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descripción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técnica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; </w:t>
            </w:r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cubierta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fabricada en tablero de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partículas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de densidad media </w:t>
            </w:r>
            <w:proofErr w:type="spellStart"/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>mdf</w:t>
            </w:r>
            <w:proofErr w:type="spellEnd"/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medium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density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particle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board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) con </w:t>
            </w:r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24 </w:t>
            </w:r>
            <w:proofErr w:type="spellStart"/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>mm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.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; con densidad promedio de 620 kg/m3, con cantos rectos y moldura perimetral de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pvc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con 2 mm de espesor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termofusionada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; </w:t>
            </w:r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estructura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metalica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soportes verticales en perfil tubular de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lamina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de acero rolado en frio, calibre 20 de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sección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circular de 1 y media pulgada; ruedas doble </w:t>
            </w:r>
            <w:proofErr w:type="spellStart"/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>auto-frenadas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, resistentes a suelos duros; 2.- acabados: cubierta forrados en laminado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plastico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de alta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presion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vgp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(vertical general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postforming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) con 0.7 mm de espesor y 400 o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mas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ciclos de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abrasion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, por ambas caras; lamina de acero rolado en frio con </w:t>
            </w:r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pintura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micro pulverizada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electrostática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hibrida con texturizado fino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semi-mate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; 3.-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seleccion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cromática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: laminado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plástico</w:t>
            </w:r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: </w:t>
            </w:r>
            <w:r w:rsidR="00DA5CED"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>Pantone</w:t>
            </w:r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>antique</w:t>
            </w:r>
            <w:proofErr w:type="spellEnd"/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>white</w:t>
            </w:r>
            <w:proofErr w:type="spellEnd"/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 11-0105 </w:t>
            </w:r>
            <w:proofErr w:type="spellStart"/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>tcx</w:t>
            </w:r>
            <w:proofErr w:type="spellEnd"/>
            <w:r w:rsidRPr="00EE2B23">
              <w:rPr>
                <w:rFonts w:ascii="Arial" w:hAnsi="Arial" w:cs="Arial"/>
                <w:color w:val="FF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(el tono final debe aproximarse al tono propuesto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segun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material.); lamina de acero rolado en frio: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Pantone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antique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white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11-0105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tcx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(el tono final debe aproximarse al tono propuesto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según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material.); 4.- sistema de ensamble: cubierta a estructura a base de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tornillería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; lamina de acero rolado en frio por punto y por arco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eléctrico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 base de soldadura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MIG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.; 5.- certificados: de manufactura o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producción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: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ISO 9001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vigente (sistema de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gestión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de calidad) y </w:t>
            </w:r>
            <w:proofErr w:type="spellStart"/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ISO</w:t>
            </w:r>
            <w:proofErr w:type="spellEnd"/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14001 vigente (sistema de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gestion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ambiental); para las normas o certificados solicitados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deberán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de cumplir con lo siguiente: para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articulos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nacionales el certificado debe ser emitido por un organismo de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certificación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acreditado por la entidad mexicana de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acreditación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(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EMA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), para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artículos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internacionales el certificado debe ser emitido por un organismo oficial acreditado por el </w:t>
            </w:r>
            <w:r w:rsidR="00DA5CED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país</w:t>
            </w:r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de origen. 6.- tolerancias: en las dimensiones generales de </w:t>
            </w:r>
            <w:proofErr w:type="spellStart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mas</w:t>
            </w:r>
            <w:proofErr w:type="spellEnd"/>
            <w:r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o menos 10 porciento.</w:t>
            </w:r>
          </w:p>
          <w:p w:rsidR="009D1EA1" w:rsidRPr="00EE2B23" w:rsidRDefault="009D1EA1" w:rsidP="00EE2B23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B23" w:rsidRPr="00EE2B23" w:rsidRDefault="009D1EA1" w:rsidP="000D7824">
            <w:pPr>
              <w:suppressAutoHyphens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22BB8271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1612900</wp:posOffset>
                  </wp:positionV>
                  <wp:extent cx="971550" cy="80391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803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E2B23" w:rsidRPr="00EE2B23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1642</w:t>
            </w:r>
          </w:p>
        </w:tc>
      </w:tr>
    </w:tbl>
    <w:p w:rsidR="00716082" w:rsidRDefault="00716082"/>
    <w:p w:rsidR="00716082" w:rsidRDefault="00716082"/>
    <w:sectPr w:rsidR="00716082" w:rsidSect="00127FCE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82"/>
    <w:rsid w:val="00127FCE"/>
    <w:rsid w:val="005B76DD"/>
    <w:rsid w:val="00716082"/>
    <w:rsid w:val="009D1EA1"/>
    <w:rsid w:val="00A50F2B"/>
    <w:rsid w:val="00DA5CED"/>
    <w:rsid w:val="00E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B53E"/>
  <w15:chartTrackingRefBased/>
  <w15:docId w15:val="{8D0D57E5-7125-44E7-B8E0-BE555787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0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2021-06-04T17:49:00Z</cp:lastPrinted>
  <dcterms:created xsi:type="dcterms:W3CDTF">2021-06-04T17:50:00Z</dcterms:created>
  <dcterms:modified xsi:type="dcterms:W3CDTF">2021-06-04T17:50:00Z</dcterms:modified>
</cp:coreProperties>
</file>