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13" w:rsidRPr="00392CD0" w:rsidRDefault="004B5113" w:rsidP="004B5113">
      <w:pPr>
        <w:pStyle w:val="Prrafodelista"/>
        <w:numPr>
          <w:ilvl w:val="0"/>
          <w:numId w:val="1"/>
        </w:numPr>
        <w:ind w:left="567"/>
        <w:contextualSpacing/>
        <w:jc w:val="both"/>
        <w:rPr>
          <w:rFonts w:ascii="Montserrat" w:hAnsi="Montserrat" w:cs="Arial"/>
          <w:sz w:val="20"/>
          <w:lang w:eastAsia="es-MX"/>
        </w:rPr>
      </w:pPr>
      <w:r w:rsidRPr="00392CD0">
        <w:rPr>
          <w:rFonts w:ascii="Montserrat" w:hAnsi="Montserrat" w:cs="Arial"/>
          <w:color w:val="FF0000"/>
          <w:sz w:val="20"/>
          <w:lang w:eastAsia="es-MX"/>
        </w:rPr>
        <w:t xml:space="preserve">El participante deberá entregar las muestras en la Oficina de Adquisición de Bienes y Contratación de Servicios, ubicada en Boulevard Guadalupe Hinojosa de Murat No. 327, C.P. 71230, Santa Cruz Xoxocotlán, Oaxaca, a partir del día 04 de junio de 2021  y como límite, una hora antes del evento Recepción de Propuestas Técnicas y Económicas programado para el día </w:t>
      </w:r>
      <w:r w:rsidRPr="00392CD0">
        <w:rPr>
          <w:rFonts w:ascii="Montserrat" w:hAnsi="Montserrat" w:cs="Arial"/>
          <w:b/>
          <w:color w:val="FF0000"/>
          <w:sz w:val="20"/>
          <w:lang w:eastAsia="es-MX"/>
        </w:rPr>
        <w:t>1</w:t>
      </w:r>
      <w:r w:rsidR="00392CD0" w:rsidRPr="00392CD0">
        <w:rPr>
          <w:rFonts w:ascii="Montserrat" w:hAnsi="Montserrat" w:cs="Arial"/>
          <w:b/>
          <w:color w:val="FF0000"/>
          <w:sz w:val="20"/>
          <w:lang w:eastAsia="es-MX"/>
        </w:rPr>
        <w:t>1</w:t>
      </w:r>
      <w:r w:rsidRPr="00392CD0">
        <w:rPr>
          <w:rFonts w:ascii="Montserrat" w:hAnsi="Montserrat" w:cs="Arial"/>
          <w:b/>
          <w:color w:val="FF0000"/>
          <w:sz w:val="20"/>
          <w:lang w:eastAsia="es-MX"/>
        </w:rPr>
        <w:t xml:space="preserve"> de junio de 2021</w:t>
      </w:r>
      <w:r w:rsidRPr="00392CD0">
        <w:rPr>
          <w:rFonts w:ascii="Montserrat" w:hAnsi="Montserrat" w:cs="Arial"/>
          <w:color w:val="FF0000"/>
          <w:sz w:val="20"/>
          <w:lang w:eastAsia="es-MX"/>
        </w:rPr>
        <w:t xml:space="preserve"> a las 10:00 horas, en el momento de la entrega de sus sobres, con la relación por clave de los artículos, conforme al </w:t>
      </w:r>
      <w:r w:rsidRPr="00392CD0">
        <w:rPr>
          <w:rFonts w:ascii="Montserrat" w:hAnsi="Montserrat" w:cs="Arial"/>
          <w:b/>
          <w:color w:val="FF0000"/>
          <w:sz w:val="20"/>
          <w:lang w:eastAsia="es-MX"/>
        </w:rPr>
        <w:t>Anexo 12 “ENTREGA DE MUESTRAS FÍSICAS”</w:t>
      </w:r>
      <w:r w:rsidRPr="00392CD0">
        <w:rPr>
          <w:rFonts w:ascii="Montserrat" w:hAnsi="Montserrat" w:cs="Arial"/>
          <w:color w:val="FF0000"/>
          <w:sz w:val="20"/>
          <w:lang w:eastAsia="es-MX"/>
        </w:rPr>
        <w:t xml:space="preserve">, </w:t>
      </w:r>
      <w:r w:rsidRPr="00392CD0">
        <w:rPr>
          <w:rFonts w:ascii="Montserrat" w:hAnsi="Montserrat" w:cs="Arial"/>
          <w:sz w:val="20"/>
          <w:lang w:eastAsia="es-MX"/>
        </w:rPr>
        <w:t>de preferencia en papel membretado de la empresa, en original y copia para que esta le sea firmada y sellada de recibido.</w:t>
      </w:r>
    </w:p>
    <w:p w:rsidR="00EA54B4" w:rsidRDefault="00EA54B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19"/>
        <w:gridCol w:w="608"/>
        <w:gridCol w:w="619"/>
        <w:gridCol w:w="7672"/>
        <w:gridCol w:w="983"/>
      </w:tblGrid>
      <w:tr w:rsidR="00E61A81" w:rsidRPr="004B5113" w:rsidTr="00E61A81">
        <w:trPr>
          <w:trHeight w:val="20"/>
          <w:tblHeader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bookmarkStart w:id="0" w:name="_Hlk73700574"/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Part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GPO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GEN 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ESP</w:t>
            </w:r>
          </w:p>
        </w:tc>
        <w:tc>
          <w:tcPr>
            <w:tcW w:w="3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DESCRIPCION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Cantidad Total</w:t>
            </w:r>
          </w:p>
        </w:tc>
      </w:tr>
      <w:tr w:rsidR="00E61A81" w:rsidRPr="004B5113" w:rsidTr="00E61A81">
        <w:trPr>
          <w:trHeight w:val="20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511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814</w:t>
            </w:r>
            <w:r w:rsidR="003B5E86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                                </w:t>
            </w:r>
            <w:bookmarkStart w:id="1" w:name="_GoBack"/>
            <w:bookmarkEnd w:id="1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0101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Default="00E61A81" w:rsidP="000D782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Silla fija apilable con estructura de trineo fabricada a base de: 1. Asiento y respaldo. En dos piezas separadas. De 50.6 x 54.7 x 82.0 cm. Con diseño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anatomico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fabricados en polipropileno inyectado de alto impacto, con tratamiento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antiestatico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y acabado texturizado rugoso en la cara frontal; de 4 mm de espesor de pared como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minimo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el respaldo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insertado en la parte superior de la estructura y fijarlo de tal forma que garantice que no se desprenda con el uso rudo y estar provisto de un saque para sujetarse con la mano (ver detalle 1), el asiento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diseñado con una canal a los extremos (parte inferior) para montarse a la estructura a base de pivotes semitubulares (3 frontales y dos posteriores) integrados formado una sola pieza con el asiento, para la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fijacion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a la estructura, en la parte frontal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incluir una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caida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tipo cascada asiento y respaldo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incluir como diseño una costilla perimetral en forma de engargolado para formar estructura y darles mayor resistencia. 2. Estructura de trineo.- fabricada de barra maciza de acero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cold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rolled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cr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) procesada en frio de 12.7 mm (1/2")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diametro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conformada en forma de asnillas (marcos) laterales, izquierda y derecha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, en la parte frontal (parte baja) </w:t>
            </w:r>
            <w:proofErr w:type="spellStart"/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>debera</w:t>
            </w:r>
            <w:proofErr w:type="spellEnd"/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 incluir un refuerzo del mismo material de la estructura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y en la parte superior de la misma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incluir una asnilla-refuerzo en ambos lados, donde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colocado el respaldo, con acabado general en pintura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epoxica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micropulverizada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color negro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o acabado cromado a solicitud especifica del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imss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. 3.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Fijacion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del asiento en la parte frontal (bajo el asiento)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incluir un refuerzo que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servira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como refuerzo a la estructura y como soporte para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fijacion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del asiento; fabricado en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lamina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acero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cold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rolled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cr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) calibre 16 de 31.7 mm ( 1 1/4") de ancho troquelado en formas de canales longitudinales en ambos lados del soporte para formar estructura y darle resistencia a la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flexion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tener barrenos en forma ojival 3 puntos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fijacion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como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minimo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(para fijar el asiento), en la parte posterior del asiento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fijarse a base de placas de acero calibre 14 (en ambos lados) con barrenos de igual forma a las del soporte frontal, la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union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todos los elementos (estructura en general)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a base de soldadura de arco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electrico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con una resistencia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mecanica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igual o mayor al material base; el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ensamble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del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asiento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con la estructura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a base de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tornillos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de acero cabeza fijadora y arandelas planas y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presion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del mismo material que los tornillos. 4.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Regaton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fijo.-</w:t>
            </w:r>
            <w:proofErr w:type="gram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fabricado en polipropileno inyectado de alto impacto con textura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antiderrapante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unido a la estructura de tal forma que se garantice no desprenderse ni removerse con el uso. Rudo (poner particular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atencion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diseñando una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preparacion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especial, que no permita que el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regaton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gire sobre la estructura o se separe de la misma, ya que esto ocasiona que la silla no tenga un contacto firme, estable y nivelado con el piso). Notas: tolerancia en las dimensiones generales +/- 1.0 cm. Aplicar los siguientes incisos de las normas de calidad para mobiliario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imss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jcc-51 mayo 1986. 03.01.01 - 03.02.01 a y b -03.02.08 - 03.03.01b - 04.01a 05.02.01 - 06 - 07 - 07.01 - 07.09-08. Criterios normativos para el control de la calidad en la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fabricacion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del mobiliario - las uniones de los elementos componentes de la estructura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maquinados para un perfecto ensamble. A base de soldadura de arco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electrico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en cordones completos uniformes devastados y pulidos para dar un buen acabado. - los dobleces de los elementos componentes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sin deformaciones, bien alineados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segun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los radios 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angulos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del doblez, utilizando en el proceso las plantillas necesarias para un perfecto control de calidad en el ensamble de la estructura. - el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acabado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de la estructura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ser en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pintura </w:t>
            </w:r>
            <w:proofErr w:type="spellStart"/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>epoxica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micropulverizada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horneada en un rango de 200 a 230 grados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centigrados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acabado gofrado de acuerdo a la norma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astm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b-117 o en cromo brillante, el cual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llevar doble</w:t>
            </w:r>
          </w:p>
          <w:p w:rsidR="00E61A81" w:rsidRDefault="00E61A81" w:rsidP="000D782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 wp14:anchorId="73FC129B" wp14:editId="2862C69C">
                  <wp:extent cx="1762125" cy="1383665"/>
                  <wp:effectExtent l="0" t="0" r="9525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8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61A81" w:rsidRPr="004B5113" w:rsidRDefault="00E61A81" w:rsidP="000D782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2380</w:t>
            </w:r>
          </w:p>
        </w:tc>
      </w:tr>
      <w:tr w:rsidR="00E61A81" w:rsidRPr="004B5113" w:rsidTr="00E61A81">
        <w:trPr>
          <w:trHeight w:val="20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511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619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1513</w:t>
            </w:r>
          </w:p>
        </w:tc>
        <w:tc>
          <w:tcPr>
            <w:tcW w:w="3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Default="00E61A81" w:rsidP="000D782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Mesa trapezoidal modular,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areas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o locales de uso: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areas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capacitacion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; dimensiones generales: base menor: </w:t>
            </w:r>
            <w:r w:rsidRPr="00E45D95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>49 cm., base mayor: 105 cm., ancho o profundidad: 50 cm., altura: 75cm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.; capacidad del carga 200 kg; 1.-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descripcion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tecnica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; cubierta fabricada en tablero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particulas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densidad media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md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f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medium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density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particle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board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) con 24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mm.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; con densidad promedio de 620 kg/m3, con cantos rectos y moldura perimetral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pvc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con 2 mm de espesor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termofusionada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; </w:t>
            </w:r>
            <w:r w:rsidRPr="002537BD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estructura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metalica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soportes verticales en perfil tubular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lamina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acero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lastRenderedPageBreak/>
              <w:t xml:space="preserve">rolado en frio, </w:t>
            </w:r>
            <w:r w:rsidRPr="002537BD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calibre 20 de </w:t>
            </w:r>
            <w:proofErr w:type="spellStart"/>
            <w:r w:rsidRPr="002537BD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>seccion</w:t>
            </w:r>
            <w:proofErr w:type="spellEnd"/>
            <w:r w:rsidRPr="002537BD">
              <w:rPr>
                <w:rFonts w:ascii="Arial" w:hAnsi="Arial" w:cs="Arial"/>
                <w:color w:val="FF0000"/>
                <w:sz w:val="18"/>
                <w:szCs w:val="18"/>
                <w:lang w:eastAsia="es-MX"/>
              </w:rPr>
              <w:t xml:space="preserve"> circular de 1 y media pulgada; </w:t>
            </w:r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ruedas doble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auto-frenadas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resistentes a suelos duros; 2.- acabados: cubierta forrados en laminado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plastico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alta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presion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vgp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(vertical general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postforming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) con 0.7 mm de espesor y 400 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mas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ciclos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abrasion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, por ambas caras; lamina de acero rolado en frio con pintura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micropulverizada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electrostatica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hibrida con texturizado fino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semi-mate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; 3.-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seleccion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cromatica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: laminado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plastico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pantone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antique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white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11-0105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tcx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(el tono final debe aproximarse al tono propuesto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segun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material.); lamina de acero rolado en frio: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pantone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antique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white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11-0105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tcx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(el tono final debe aproximarse al tono propuesto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segun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material.); 4.- sistema de ensamble: cubierta a estructura a base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tornilleria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; lamina de acero rolado en frio por punto y por arco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electrico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a base de soldadura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mig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.; 5.- certificados: de manufactura o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produccion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iso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9001 vigente (sistema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gestion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calidad) y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iso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14001 vigente (sistema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gestion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ambiental); para las normas o certificados solicitados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deberan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cumplir con lo siguiente: para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articulos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nacionales el certificado debe ser emitido por un organismo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certificacion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acreditado por la entidad mexicana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acreditacion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ema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), para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articulos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internacionales el certificado debe ser emitido por un organismo oficial acreditado por el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pais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de origen. 6.- tolerancias: en las dimensiones generales de </w:t>
            </w:r>
            <w:proofErr w:type="spellStart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mas</w:t>
            </w:r>
            <w:proofErr w:type="spellEnd"/>
            <w:r w:rsidRPr="004B5113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 xml:space="preserve"> o menos 10 porciento.</w:t>
            </w:r>
          </w:p>
          <w:p w:rsidR="00E61A81" w:rsidRPr="004B5113" w:rsidRDefault="00E61A81" w:rsidP="000D782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 wp14:anchorId="706A23B6" wp14:editId="32E9038A">
                  <wp:extent cx="2018030" cy="1670685"/>
                  <wp:effectExtent l="0" t="0" r="127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1A81" w:rsidRPr="004B5113" w:rsidRDefault="00E61A81" w:rsidP="000D7824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4B511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lastRenderedPageBreak/>
              <w:t>2380</w:t>
            </w:r>
          </w:p>
        </w:tc>
      </w:tr>
      <w:bookmarkEnd w:id="0"/>
    </w:tbl>
    <w:p w:rsidR="004B5113" w:rsidRDefault="004B5113"/>
    <w:sectPr w:rsidR="004B5113" w:rsidSect="00462D2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02EDA"/>
    <w:multiLevelType w:val="hybridMultilevel"/>
    <w:tmpl w:val="329E2160"/>
    <w:lvl w:ilvl="0" w:tplc="080A0017">
      <w:start w:val="1"/>
      <w:numFmt w:val="lowerLetter"/>
      <w:lvlText w:val="%1)"/>
      <w:lvlJc w:val="left"/>
      <w:pPr>
        <w:ind w:left="107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F"/>
    <w:rsid w:val="002537BD"/>
    <w:rsid w:val="00392CD0"/>
    <w:rsid w:val="003B5E86"/>
    <w:rsid w:val="00462D2F"/>
    <w:rsid w:val="004B5113"/>
    <w:rsid w:val="00E45D95"/>
    <w:rsid w:val="00E61A81"/>
    <w:rsid w:val="00EA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64CE2E"/>
  <w15:chartTrackingRefBased/>
  <w15:docId w15:val="{15D849FB-CDBB-4481-B031-1DD20EB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D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p1,Lista vistosa - Énfasis 11,List Paragraph11,Bullet List,FooterText,numbered,Paragraphe de liste1,Bulletr List Paragraph,列出段落,列出段落1,Scitum normal,Listas,Colorful List - Accent 11,TítuloB,4 Párrafo de lista,Figuras,List Paragraph,b1"/>
    <w:basedOn w:val="Normal"/>
    <w:link w:val="PrrafodelistaCar"/>
    <w:uiPriority w:val="34"/>
    <w:qFormat/>
    <w:rsid w:val="004B5113"/>
    <w:pPr>
      <w:ind w:left="708"/>
    </w:pPr>
  </w:style>
  <w:style w:type="character" w:customStyle="1" w:styleId="PrrafodelistaCar">
    <w:name w:val="Párrafo de lista Car"/>
    <w:aliases w:val="lp1 Car,Lista vistosa - Énfasis 11 Car,List Paragraph11 Car,Bullet List Car,FooterText Car,numbered Car,Paragraphe de liste1 Car,Bulletr List Paragraph Car,列出段落 Car,列出段落1 Car,Scitum normal Car,Listas Car,TítuloB Car,Figuras Car"/>
    <w:link w:val="Prrafodelista"/>
    <w:uiPriority w:val="34"/>
    <w:rsid w:val="004B5113"/>
    <w:rPr>
      <w:rFonts w:ascii="Times New Roman" w:eastAsia="Times New Roman" w:hAnsi="Times New Roman" w:cs="Times New Roman"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2021-06-04T17:51:00Z</cp:lastPrinted>
  <dcterms:created xsi:type="dcterms:W3CDTF">2021-06-04T17:55:00Z</dcterms:created>
  <dcterms:modified xsi:type="dcterms:W3CDTF">2021-06-04T17:55:00Z</dcterms:modified>
</cp:coreProperties>
</file>