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168"/>
      </w:tblGrid>
      <w:tr>
        <w:tc>
          <w:tcPr>
            <w:tcW w:type="dxa" w:w="5161"/>
            <w:shd w:fill="17365D"/>
            <w:tcBorders>
              <w:top w:val="single" w:sz="0" w:space="0" w:color="17365D"/>
              <w:left w:val="single" w:sz="0" w:space="0" w:color="17365D"/>
              <w:bottom w:val="single" w:sz="0" w:space="0" w:color="17365D"/>
              <w:right w:val="single" w:sz="0" w:space="0" w:color="17365D"/>
            </w:tcBorders>
            <w:tcMar>
              <w:top w:w="110" w:type="dxa"/>
              <w:start w:w="100" w:type="dxa"/>
              <w:bottom w:w="110" w:type="dxa"/>
              <w:end w:w="100" w:type="dxa"/>
            </w:tcMar>
          </w:tcPr>
          <w:p>
            <w:r>
              <w:rPr>
                <w:rFonts w:ascii="Aptos" w:hAnsi="Aptos"/>
                <w:b/>
                <w:i w:val="0"/>
                <w:color w:val="FFFFFF"/>
                <w:sz w:val="27"/>
              </w:rPr>
              <w:t>SMART POWER</w:t>
            </w:r>
          </w:p>
        </w:tc>
        <w:tc>
          <w:tcPr>
            <w:tcW w:type="dxa" w:w="5161"/>
            <w:shd w:fill="17365D"/>
            <w:tcBorders>
              <w:top w:val="single" w:sz="0" w:space="0" w:color="17365D"/>
              <w:left w:val="single" w:sz="0" w:space="0" w:color="17365D"/>
              <w:bottom w:val="single" w:sz="0" w:space="0" w:color="17365D"/>
              <w:right w:val="single" w:sz="0" w:space="0" w:color="17365D"/>
            </w:tcBorders>
            <w:tcMar>
              <w:top w:w="110" w:type="dxa"/>
              <w:start w:w="100" w:type="dxa"/>
              <w:bottom w:w="110" w:type="dxa"/>
              <w:end w:w="100" w:type="dxa"/>
            </w:tcMar>
          </w:tcPr>
          <w:p>
            <w:pPr>
              <w:jc w:val="right"/>
            </w:pPr>
            <w:r>
              <w:rPr>
                <w:rFonts w:ascii="Aptos" w:hAnsi="Aptos"/>
                <w:b/>
                <w:i w:val="0"/>
                <w:color w:val="B9F65A"/>
                <w:sz w:val="15"/>
              </w:rPr>
              <w:t>TEKNİK MÜLAKAT DOSYASI</w:t>
            </w:r>
          </w:p>
        </w:tc>
      </w:tr>
    </w:tbl>
    <w:p>
      <w:pPr>
        <w:spacing w:before="180" w:after="40" w:line="247" w:lineRule="auto"/>
      </w:pPr>
      <w:r>
        <w:rPr>
          <w:rFonts w:ascii="Aptos" w:hAnsi="Aptos"/>
          <w:b/>
          <w:i w:val="0"/>
          <w:color w:val="17365D"/>
          <w:sz w:val="44"/>
        </w:rPr>
        <w:t>Saatlik elektrik verisinden</w:t>
      </w:r>
    </w:p>
    <w:p>
      <w:pPr>
        <w:spacing w:before="0" w:after="100" w:line="247" w:lineRule="auto"/>
      </w:pPr>
      <w:r>
        <w:rPr>
          <w:rFonts w:ascii="Aptos" w:hAnsi="Aptos"/>
          <w:b/>
          <w:i w:val="0"/>
          <w:color w:val="3B73D9"/>
          <w:sz w:val="44"/>
        </w:rPr>
        <w:t>tarihsel karar destek ürününe</w:t>
      </w:r>
    </w:p>
    <w:p>
      <w:pPr>
        <w:spacing w:before="0" w:after="180" w:line="247" w:lineRule="auto"/>
      </w:pPr>
      <w:r>
        <w:rPr>
          <w:rFonts w:ascii="Aptos" w:hAnsi="Aptos"/>
          <w:b w:val="0"/>
          <w:i w:val="0"/>
          <w:color w:val="52647A"/>
          <w:sz w:val="18"/>
        </w:rPr>
        <w:t>Teknik ekip için; veri toplama, dönüşüm, SQL, analiz, model ve ürün akışının 5 sayfalık özeti.</w:t>
      </w:r>
    </w:p>
    <w:tbl>
      <w:tblPr>
        <w:tblW w:type="auto" w:w="0"/>
        <w:jc w:val="center"/>
        <w:tblLayout w:type="fixed"/>
        <w:tblLook w:firstColumn="1" w:firstRow="1" w:lastColumn="0" w:lastRow="0" w:noHBand="0" w:noVBand="1" w:val="04A0"/>
      </w:tblPr>
      <w:tblGrid>
        <w:gridCol w:w="173"/>
        <w:gridCol w:w="9907"/>
      </w:tblGrid>
      <w:tr>
        <w:tc>
          <w:tcPr>
            <w:tcW w:type="dxa" w:w="5161"/>
            <w:shd w:fill="3B73D9"/>
            <w:tcBorders>
              <w:top w:val="single" w:sz="0" w:space="0" w:color="3B73D9"/>
              <w:left w:val="single" w:sz="0" w:space="0" w:color="3B73D9"/>
              <w:bottom w:val="single" w:sz="0" w:space="0" w:color="3B73D9"/>
              <w:right w:val="single" w:sz="0" w:space="0" w:color="3B73D9"/>
            </w:tcBorders>
          </w:tcPr>
          <w:p/>
        </w:tc>
        <w:tc>
          <w:tcPr>
            <w:tcW w:type="dxa" w:w="5161"/>
            <w:shd w:fill="EAF2FB"/>
            <w:tcBorders>
              <w:top w:val="single" w:sz="0" w:space="0" w:color="EAF2FB"/>
              <w:left w:val="single" w:sz="0" w:space="0" w:color="EAF2FB"/>
              <w:bottom w:val="single" w:sz="0" w:space="0" w:color="EAF2FB"/>
              <w:right w:val="single" w:sz="0" w:space="0" w:color="EAF2FB"/>
            </w:tcBorders>
            <w:tcMar>
              <w:top w:w="100" w:type="dxa"/>
              <w:start w:w="125" w:type="dxa"/>
              <w:bottom w:w="100" w:type="dxa"/>
              <w:end w:w="125" w:type="dxa"/>
            </w:tcMar>
          </w:tcPr>
          <w:p>
            <w:pPr>
              <w:spacing w:before="0" w:after="20" w:line="247" w:lineRule="auto"/>
            </w:pPr>
            <w:r>
              <w:rPr>
                <w:rFonts w:ascii="Aptos" w:hAnsi="Aptos"/>
                <w:b/>
                <w:i w:val="0"/>
                <w:color w:val="17365D"/>
                <w:sz w:val="18"/>
              </w:rPr>
              <w:t>Araştırma sorusu</w:t>
            </w:r>
          </w:p>
          <w:p>
            <w:pPr>
              <w:spacing w:before="0" w:after="0" w:line="247" w:lineRule="auto"/>
            </w:pPr>
            <w:r>
              <w:rPr>
                <w:rFonts w:ascii="Aptos" w:hAnsi="Aptos"/>
                <w:b w:val="0"/>
                <w:i w:val="0"/>
                <w:color w:val="17243A"/>
                <w:sz w:val="16"/>
              </w:rPr>
              <w:t>Hangi dört saatlik zaman aralığı, Hollanda’da esnek elektrik kullanımını hem daha düşük fiyatlı hem de daha düşük karbon yoğunluklu saatlere taşıyor?</w:t>
            </w:r>
          </w:p>
        </w:tc>
      </w:tr>
    </w:tbl>
    <w:p>
      <w:pPr>
        <w:spacing w:before="100" w:after="60" w:line="247" w:lineRule="auto"/>
        <w:keepNext/>
      </w:pPr>
      <w:r>
        <w:rPr>
          <w:rFonts w:ascii="Aptos" w:hAnsi="Aptos"/>
          <w:b/>
          <w:i w:val="0"/>
          <w:color w:val="17365D"/>
          <w:sz w:val="22"/>
        </w:rPr>
        <w:t>60 saniyelik teknik özet</w:t>
      </w:r>
    </w:p>
    <w:p>
      <w:pPr>
        <w:spacing w:before="0" w:after="120" w:line="247" w:lineRule="auto"/>
      </w:pPr>
      <w:r>
        <w:rPr>
          <w:rFonts w:ascii="Aptos" w:hAnsi="Aptos"/>
          <w:b w:val="0"/>
          <w:i w:val="0"/>
          <w:color w:val="17243A"/>
          <w:sz w:val="17"/>
        </w:rPr>
        <w:t>Dört harici kaynaktan fiyat, üretim karması, hava koşulları ve yaşam döngüsü karbon yoğunluğu verisini Python ile aldım. Tüm zamanları UTC’ye çevirdim; 15 dakikalık karbon verisini yalnızca dört tam gözlem bulunan saatler için ortalamaya aldım ve kaynakları saatlik timestamp üzerinden birleştirdim. Temiz tabloyu MySQL’e idempotent bir şema ile yükledim; SQL view ve kalite sorguları oluşturdum. Ardından tarihsel düşük fiyat/düşük karbon kesişimini, eşleşmiş gün karşılaştırmasını ve kronolojik hold-out kullanan bir sonraki saat fiyat modelini değerlendirdim. Sonuçları Streamlit karar destek prototipi ve Tableau dashboard’u ile ürünleştirdim.</w:t>
      </w:r>
    </w:p>
    <w:tbl>
      <w:tblPr>
        <w:tblW w:type="auto" w:w="0"/>
        <w:jc w:val="center"/>
        <w:tblLayout w:type="autofit"/>
        <w:tblLook w:firstColumn="1" w:firstRow="1" w:lastColumn="0" w:lastRow="0" w:noHBand="0" w:noVBand="1" w:val="04A0"/>
      </w:tblPr>
      <w:tblGrid>
        <w:gridCol w:w="2580"/>
        <w:gridCol w:w="2580"/>
        <w:gridCol w:w="2580"/>
        <w:gridCol w:w="2580"/>
      </w:tblGrid>
      <w:tr>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1,170</w:t>
            </w:r>
          </w:p>
          <w:p>
            <w:pPr>
              <w:spacing w:before="0" w:after="0" w:line="247" w:lineRule="auto"/>
              <w:jc w:val="center"/>
            </w:pPr>
            <w:r>
              <w:rPr>
                <w:rFonts w:ascii="Aptos" w:hAnsi="Aptos"/>
                <w:b/>
                <w:i w:val="0"/>
                <w:color w:val="17243A"/>
                <w:sz w:val="14"/>
              </w:rPr>
              <w:t>doğrulanmış saat</w:t>
            </w:r>
          </w:p>
        </w:tc>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12–16</w:t>
            </w:r>
          </w:p>
          <w:p>
            <w:pPr>
              <w:spacing w:before="0" w:after="0" w:line="247" w:lineRule="auto"/>
              <w:jc w:val="center"/>
            </w:pPr>
            <w:r>
              <w:rPr>
                <w:rFonts w:ascii="Aptos" w:hAnsi="Aptos"/>
                <w:b/>
                <w:i w:val="0"/>
                <w:color w:val="17243A"/>
                <w:sz w:val="14"/>
              </w:rPr>
              <w:t>önerilen tarihsel pencere</w:t>
            </w:r>
          </w:p>
        </w:tc>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164</w:t>
            </w:r>
          </w:p>
          <w:p>
            <w:pPr>
              <w:spacing w:before="0" w:after="0" w:line="247" w:lineRule="auto"/>
              <w:jc w:val="center"/>
            </w:pPr>
            <w:r>
              <w:rPr>
                <w:rFonts w:ascii="Aptos" w:hAnsi="Aptos"/>
                <w:b/>
                <w:i w:val="0"/>
                <w:color w:val="17243A"/>
                <w:sz w:val="14"/>
              </w:rPr>
              <w:t>ucuz ve düşük karbonlu saat</w:t>
            </w:r>
          </w:p>
        </w:tc>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4</w:t>
            </w:r>
          </w:p>
          <w:p>
            <w:pPr>
              <w:spacing w:before="0" w:after="0" w:line="247" w:lineRule="auto"/>
              <w:jc w:val="center"/>
            </w:pPr>
            <w:r>
              <w:rPr>
                <w:rFonts w:ascii="Aptos" w:hAnsi="Aptos"/>
                <w:b/>
                <w:i w:val="0"/>
                <w:color w:val="17243A"/>
                <w:sz w:val="14"/>
              </w:rPr>
              <w:t>API kaynağı</w:t>
            </w:r>
          </w:p>
        </w:tc>
      </w:tr>
    </w:tbl>
    <w:p>
      <w:pPr>
        <w:spacing w:before="100" w:after="60" w:line="247" w:lineRule="auto"/>
        <w:keepNext/>
      </w:pPr>
      <w:r>
        <w:rPr>
          <w:rFonts w:ascii="Aptos" w:hAnsi="Aptos"/>
          <w:b/>
          <w:i w:val="0"/>
          <w:color w:val="17365D"/>
          <w:sz w:val="22"/>
        </w:rPr>
        <w:t>Ana çıktı ve kapsam</w:t>
      </w:r>
    </w:p>
    <w:p>
      <w:pPr>
        <w:pStyle w:val="ListBullet"/>
        <w:spacing w:before="0" w:after="44" w:line="247" w:lineRule="auto"/>
      </w:pPr>
      <w:r>
        <w:rPr>
          <w:rFonts w:ascii="Aptos" w:hAnsi="Aptos"/>
          <w:b/>
          <w:i w:val="0"/>
          <w:color w:val="17243A"/>
          <w:sz w:val="17"/>
        </w:rPr>
        <w:t>Örneklem:</w:t>
      </w:r>
      <w:r>
        <w:rPr>
          <w:rFonts w:ascii="Aptos" w:hAnsi="Aptos"/>
          <w:b w:val="0"/>
          <w:i w:val="0"/>
          <w:color w:val="17243A"/>
          <w:sz w:val="17"/>
        </w:rPr>
        <w:t xml:space="preserve"> 28 Mayıs–3 Ağustos 2026; Amsterdam sunumu için yerel saate çevrilen, analizde UTC ile hizalanan 1.170 saat.</w:t>
      </w:r>
    </w:p>
    <w:p>
      <w:pPr>
        <w:pStyle w:val="ListBullet"/>
        <w:spacing w:before="0" w:after="44" w:line="247" w:lineRule="auto"/>
      </w:pPr>
      <w:r>
        <w:rPr>
          <w:rFonts w:ascii="Aptos" w:hAnsi="Aptos"/>
          <w:b/>
          <w:i w:val="0"/>
          <w:color w:val="17243A"/>
          <w:sz w:val="17"/>
        </w:rPr>
        <w:t>Tarihsel bulgu:</w:t>
      </w:r>
      <w:r>
        <w:rPr>
          <w:rFonts w:ascii="Aptos" w:hAnsi="Aptos"/>
          <w:b w:val="0"/>
          <w:i w:val="0"/>
          <w:color w:val="17243A"/>
          <w:sz w:val="17"/>
        </w:rPr>
        <w:t xml:space="preserve"> 12:00–16:00 penceresi fiyat–karbon dengesinde en iyi dört saatlik blok olarak çıktı.</w:t>
      </w:r>
    </w:p>
    <w:p>
      <w:pPr>
        <w:pStyle w:val="ListBullet"/>
        <w:spacing w:before="0" w:after="44" w:line="247" w:lineRule="auto"/>
      </w:pPr>
      <w:r>
        <w:rPr>
          <w:rFonts w:ascii="Aptos" w:hAnsi="Aptos"/>
          <w:b/>
          <w:i w:val="0"/>
          <w:color w:val="17243A"/>
          <w:sz w:val="17"/>
        </w:rPr>
        <w:t>Dürüst sınır:</w:t>
      </w:r>
      <w:r>
        <w:rPr>
          <w:rFonts w:ascii="Aptos" w:hAnsi="Aptos"/>
          <w:b w:val="0"/>
          <w:i w:val="0"/>
          <w:color w:val="17243A"/>
          <w:sz w:val="17"/>
        </w:rPr>
        <w:t xml:space="preserve"> Uygulama canlı veri veya tahmin sunmuyor; doğrulanmış tarihsel gözlemleri etkileşimli biçimde açıklıyor.</w:t>
      </w:r>
    </w:p>
    <w:p>
      <w:r>
        <w:br w:type="page"/>
      </w:r>
    </w:p>
    <w:tbl>
      <w:tblPr>
        <w:tblW w:type="auto" w:w="0"/>
        <w:jc w:val="center"/>
        <w:tblLayout w:type="fixed"/>
        <w:tblLook w:firstColumn="1" w:firstRow="1" w:lastColumn="0" w:lastRow="0" w:noHBand="0" w:noVBand="1" w:val="04A0"/>
      </w:tblPr>
      <w:tblGrid>
        <w:gridCol w:w="8136"/>
        <w:gridCol w:w="1944"/>
      </w:tblGrid>
      <w:tr>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left"/>
            </w:pPr>
            <w:r>
              <w:rPr>
                <w:rFonts w:ascii="Aptos" w:hAnsi="Aptos"/>
                <w:b/>
                <w:i w:val="0"/>
                <w:color w:val="FFFFFF"/>
                <w:sz w:val="32"/>
              </w:rPr>
              <w:t>Mimari ve veri kaynakları</w:t>
            </w:r>
          </w:p>
        </w:tc>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right"/>
            </w:pPr>
            <w:r>
              <w:rPr>
                <w:rFonts w:ascii="Aptos" w:hAnsi="Aptos"/>
                <w:b/>
                <w:i w:val="0"/>
                <w:color w:val="B9F65A"/>
                <w:sz w:val="16"/>
              </w:rPr>
              <w:t>01</w:t>
            </w:r>
          </w:p>
        </w:tc>
      </w:tr>
    </w:tbl>
    <w:p>
      <w:pPr>
        <w:spacing w:before="60" w:after="140" w:line="247" w:lineRule="auto"/>
      </w:pPr>
      <w:r>
        <w:rPr>
          <w:rFonts w:ascii="Aptos" w:hAnsi="Aptos"/>
          <w:b w:val="0"/>
          <w:i w:val="0"/>
          <w:color w:val="52647A"/>
          <w:sz w:val="17"/>
        </w:rPr>
        <w:t>Kaynakların görevleri ayrıdır; ortak anahtar timezone-aware UTC timestamp’tir.</w:t>
      </w:r>
    </w:p>
    <w:tbl>
      <w:tblPr>
        <w:tblW w:type="auto" w:w="0"/>
        <w:jc w:val="center"/>
        <w:tblLayout w:type="autofit"/>
        <w:tblLook w:firstColumn="1" w:firstRow="1" w:lastColumn="0" w:lastRow="0" w:noHBand="0" w:noVBand="1" w:val="04A0"/>
      </w:tblPr>
      <w:tblGrid>
        <w:gridCol w:w="2064"/>
        <w:gridCol w:w="2064"/>
        <w:gridCol w:w="2064"/>
        <w:gridCol w:w="2064"/>
        <w:gridCol w:w="2064"/>
      </w:tblGrid>
      <w:tr>
        <w:tc>
          <w:tcPr>
            <w:tcW w:type="dxa" w:w="2064"/>
            <w:shd w:fill="17365D"/>
            <w:tcBorders>
              <w:top w:val="single" w:sz="12" w:space="0" w:color="FFFFFF"/>
              <w:left w:val="single" w:sz="12" w:space="0" w:color="FFFFFF"/>
              <w:bottom w:val="single" w:sz="12" w:space="0" w:color="FFFFFF"/>
              <w:right w:val="single" w:sz="12" w:space="0" w:color="FFFFFF"/>
            </w:tcBorders>
            <w:tcMar>
              <w:top w:w="95" w:type="dxa"/>
              <w:start w:w="65" w:type="dxa"/>
              <w:bottom w:w="95" w:type="dxa"/>
              <w:end w:w="65" w:type="dxa"/>
            </w:tcMar>
          </w:tcPr>
          <w:p>
            <w:pPr>
              <w:jc w:val="center"/>
            </w:pPr>
            <w:r>
              <w:rPr>
                <w:rFonts w:ascii="Aptos" w:hAnsi="Aptos"/>
                <w:b/>
                <w:i w:val="0"/>
                <w:color w:val="B9F65A"/>
                <w:sz w:val="15"/>
              </w:rPr>
              <w:t>01</w:t>
            </w:r>
          </w:p>
          <w:p>
            <w:pPr>
              <w:spacing w:before="0" w:after="20" w:line="247" w:lineRule="auto"/>
              <w:jc w:val="center"/>
            </w:pPr>
            <w:r>
              <w:rPr>
                <w:rFonts w:ascii="Aptos" w:hAnsi="Aptos"/>
                <w:b/>
                <w:i w:val="0"/>
                <w:color w:val="FFFFFF"/>
                <w:sz w:val="15"/>
              </w:rPr>
              <w:t>API ingestion</w:t>
            </w:r>
          </w:p>
          <w:p>
            <w:pPr>
              <w:jc w:val="center"/>
            </w:pPr>
            <w:r>
              <w:rPr>
                <w:rFonts w:ascii="Aptos" w:hAnsi="Aptos"/>
                <w:b w:val="0"/>
                <w:i w:val="0"/>
                <w:color w:val="FFFFFF"/>
                <w:sz w:val="13"/>
              </w:rPr>
              <w:t>4 kaynak · ham CSV</w:t>
            </w:r>
          </w:p>
        </w:tc>
        <w:tc>
          <w:tcPr>
            <w:tcW w:type="dxa" w:w="2064"/>
            <w:shd w:fill="3B73D9"/>
            <w:tcBorders>
              <w:top w:val="single" w:sz="12" w:space="0" w:color="FFFFFF"/>
              <w:left w:val="single" w:sz="12" w:space="0" w:color="FFFFFF"/>
              <w:bottom w:val="single" w:sz="12" w:space="0" w:color="FFFFFF"/>
              <w:right w:val="single" w:sz="12" w:space="0" w:color="FFFFFF"/>
            </w:tcBorders>
            <w:tcMar>
              <w:top w:w="95" w:type="dxa"/>
              <w:start w:w="65" w:type="dxa"/>
              <w:bottom w:w="95" w:type="dxa"/>
              <w:end w:w="65" w:type="dxa"/>
            </w:tcMar>
          </w:tcPr>
          <w:p>
            <w:pPr>
              <w:jc w:val="center"/>
            </w:pPr>
            <w:r>
              <w:rPr>
                <w:rFonts w:ascii="Aptos" w:hAnsi="Aptos"/>
                <w:b/>
                <w:i w:val="0"/>
                <w:color w:val="B9F65A"/>
                <w:sz w:val="15"/>
              </w:rPr>
              <w:t>02</w:t>
            </w:r>
          </w:p>
          <w:p>
            <w:pPr>
              <w:spacing w:before="0" w:after="20" w:line="247" w:lineRule="auto"/>
              <w:jc w:val="center"/>
            </w:pPr>
            <w:r>
              <w:rPr>
                <w:rFonts w:ascii="Aptos" w:hAnsi="Aptos"/>
                <w:b/>
                <w:i w:val="0"/>
                <w:color w:val="FFFFFF"/>
                <w:sz w:val="15"/>
              </w:rPr>
              <w:t>Hourly transform</w:t>
            </w:r>
          </w:p>
          <w:p>
            <w:pPr>
              <w:jc w:val="center"/>
            </w:pPr>
            <w:r>
              <w:rPr>
                <w:rFonts w:ascii="Aptos" w:hAnsi="Aptos"/>
                <w:b w:val="0"/>
                <w:i w:val="0"/>
                <w:color w:val="FFFFFF"/>
                <w:sz w:val="13"/>
              </w:rPr>
              <w:t>UTC · ölçü · özellik</w:t>
            </w:r>
          </w:p>
        </w:tc>
        <w:tc>
          <w:tcPr>
            <w:tcW w:type="dxa" w:w="2064"/>
            <w:shd w:fill="17365D"/>
            <w:tcBorders>
              <w:top w:val="single" w:sz="12" w:space="0" w:color="FFFFFF"/>
              <w:left w:val="single" w:sz="12" w:space="0" w:color="FFFFFF"/>
              <w:bottom w:val="single" w:sz="12" w:space="0" w:color="FFFFFF"/>
              <w:right w:val="single" w:sz="12" w:space="0" w:color="FFFFFF"/>
            </w:tcBorders>
            <w:tcMar>
              <w:top w:w="95" w:type="dxa"/>
              <w:start w:w="65" w:type="dxa"/>
              <w:bottom w:w="95" w:type="dxa"/>
              <w:end w:w="65" w:type="dxa"/>
            </w:tcMar>
          </w:tcPr>
          <w:p>
            <w:pPr>
              <w:jc w:val="center"/>
            </w:pPr>
            <w:r>
              <w:rPr>
                <w:rFonts w:ascii="Aptos" w:hAnsi="Aptos"/>
                <w:b/>
                <w:i w:val="0"/>
                <w:color w:val="B9F65A"/>
                <w:sz w:val="15"/>
              </w:rPr>
              <w:t>03</w:t>
            </w:r>
          </w:p>
          <w:p>
            <w:pPr>
              <w:spacing w:before="0" w:after="20" w:line="247" w:lineRule="auto"/>
              <w:jc w:val="center"/>
            </w:pPr>
            <w:r>
              <w:rPr>
                <w:rFonts w:ascii="Aptos" w:hAnsi="Aptos"/>
                <w:b/>
                <w:i w:val="0"/>
                <w:color w:val="FFFFFF"/>
                <w:sz w:val="15"/>
              </w:rPr>
              <w:t>MySQL + SQL</w:t>
            </w:r>
          </w:p>
          <w:p>
            <w:pPr>
              <w:jc w:val="center"/>
            </w:pPr>
            <w:r>
              <w:rPr>
                <w:rFonts w:ascii="Aptos" w:hAnsi="Aptos"/>
                <w:b w:val="0"/>
                <w:i w:val="0"/>
                <w:color w:val="FFFFFF"/>
                <w:sz w:val="13"/>
              </w:rPr>
              <w:t>şema · view · QA</w:t>
            </w:r>
          </w:p>
        </w:tc>
        <w:tc>
          <w:tcPr>
            <w:tcW w:type="dxa" w:w="2064"/>
            <w:shd w:fill="3B73D9"/>
            <w:tcBorders>
              <w:top w:val="single" w:sz="12" w:space="0" w:color="FFFFFF"/>
              <w:left w:val="single" w:sz="12" w:space="0" w:color="FFFFFF"/>
              <w:bottom w:val="single" w:sz="12" w:space="0" w:color="FFFFFF"/>
              <w:right w:val="single" w:sz="12" w:space="0" w:color="FFFFFF"/>
            </w:tcBorders>
            <w:tcMar>
              <w:top w:w="95" w:type="dxa"/>
              <w:start w:w="65" w:type="dxa"/>
              <w:bottom w:w="95" w:type="dxa"/>
              <w:end w:w="65" w:type="dxa"/>
            </w:tcMar>
          </w:tcPr>
          <w:p>
            <w:pPr>
              <w:jc w:val="center"/>
            </w:pPr>
            <w:r>
              <w:rPr>
                <w:rFonts w:ascii="Aptos" w:hAnsi="Aptos"/>
                <w:b/>
                <w:i w:val="0"/>
                <w:color w:val="B9F65A"/>
                <w:sz w:val="15"/>
              </w:rPr>
              <w:t>04</w:t>
            </w:r>
          </w:p>
          <w:p>
            <w:pPr>
              <w:spacing w:before="0" w:after="20" w:line="247" w:lineRule="auto"/>
              <w:jc w:val="center"/>
            </w:pPr>
            <w:r>
              <w:rPr>
                <w:rFonts w:ascii="Aptos" w:hAnsi="Aptos"/>
                <w:b/>
                <w:i w:val="0"/>
                <w:color w:val="FFFFFF"/>
                <w:sz w:val="15"/>
              </w:rPr>
              <w:t>Analysis / ML</w:t>
            </w:r>
          </w:p>
          <w:p>
            <w:pPr>
              <w:jc w:val="center"/>
            </w:pPr>
            <w:r>
              <w:rPr>
                <w:rFonts w:ascii="Aptos" w:hAnsi="Aptos"/>
                <w:b w:val="0"/>
                <w:i w:val="0"/>
                <w:color w:val="FFFFFF"/>
                <w:sz w:val="13"/>
              </w:rPr>
              <w:t>hipotez · hold-out</w:t>
            </w:r>
          </w:p>
        </w:tc>
        <w:tc>
          <w:tcPr>
            <w:tcW w:type="dxa" w:w="2064"/>
            <w:shd w:fill="17365D"/>
            <w:tcBorders>
              <w:top w:val="single" w:sz="12" w:space="0" w:color="FFFFFF"/>
              <w:left w:val="single" w:sz="12" w:space="0" w:color="FFFFFF"/>
              <w:bottom w:val="single" w:sz="12" w:space="0" w:color="FFFFFF"/>
              <w:right w:val="single" w:sz="12" w:space="0" w:color="FFFFFF"/>
            </w:tcBorders>
            <w:tcMar>
              <w:top w:w="95" w:type="dxa"/>
              <w:start w:w="65" w:type="dxa"/>
              <w:bottom w:w="95" w:type="dxa"/>
              <w:end w:w="65" w:type="dxa"/>
            </w:tcMar>
          </w:tcPr>
          <w:p>
            <w:pPr>
              <w:jc w:val="center"/>
            </w:pPr>
            <w:r>
              <w:rPr>
                <w:rFonts w:ascii="Aptos" w:hAnsi="Aptos"/>
                <w:b/>
                <w:i w:val="0"/>
                <w:color w:val="B9F65A"/>
                <w:sz w:val="15"/>
              </w:rPr>
              <w:t>05</w:t>
            </w:r>
          </w:p>
          <w:p>
            <w:pPr>
              <w:spacing w:before="0" w:after="20" w:line="247" w:lineRule="auto"/>
              <w:jc w:val="center"/>
            </w:pPr>
            <w:r>
              <w:rPr>
                <w:rFonts w:ascii="Aptos" w:hAnsi="Aptos"/>
                <w:b/>
                <w:i w:val="0"/>
                <w:color w:val="FFFFFF"/>
                <w:sz w:val="15"/>
              </w:rPr>
              <w:t>Product</w:t>
            </w:r>
          </w:p>
          <w:p>
            <w:pPr>
              <w:jc w:val="center"/>
            </w:pPr>
            <w:r>
              <w:rPr>
                <w:rFonts w:ascii="Aptos" w:hAnsi="Aptos"/>
                <w:b w:val="0"/>
                <w:i w:val="0"/>
                <w:color w:val="FFFFFF"/>
                <w:sz w:val="13"/>
              </w:rPr>
              <w:t>Streamlit · Tableau</w:t>
            </w:r>
          </w:p>
        </w:tc>
      </w:tr>
    </w:tbl>
    <w:p>
      <w:pPr>
        <w:spacing w:before="100" w:after="60" w:line="247" w:lineRule="auto"/>
        <w:keepNext/>
      </w:pPr>
      <w:r>
        <w:rPr>
          <w:rFonts w:ascii="Aptos" w:hAnsi="Aptos"/>
          <w:b/>
          <w:i w:val="0"/>
          <w:color w:val="17365D"/>
          <w:sz w:val="22"/>
        </w:rPr>
        <w:t>Dört kaynak, dört ayrı sinyal</w:t>
      </w:r>
    </w:p>
    <w:tbl>
      <w:tblPr>
        <w:tblW w:type="auto" w:w="0"/>
        <w:jc w:val="center"/>
        <w:tblLayout w:type="autofit"/>
        <w:tblLook w:firstColumn="1" w:firstRow="1" w:lastColumn="0" w:lastRow="0" w:noHBand="0" w:noVBand="1" w:val="04A0"/>
      </w:tblPr>
      <w:tblGrid>
        <w:gridCol w:w="2064"/>
        <w:gridCol w:w="2064"/>
        <w:gridCol w:w="2064"/>
        <w:gridCol w:w="2064"/>
        <w:gridCol w:w="2064"/>
      </w:tblGrid>
      <w:tr>
        <w:trPr>
          <w:tblHeader w:val="true"/>
        </w:trPr>
        <w:tc>
          <w:tcPr>
            <w:tcW w:type="dxa" w:w="2064"/>
            <w:shd w:fill="17365D"/>
            <w:tcBorders>
              <w:top w:val="single" w:sz="8" w:space="0" w:color="FFFFFF"/>
              <w:left w:val="single" w:sz="8" w:space="0" w:color="FFFFFF"/>
              <w:bottom w:val="single" w:sz="8" w:space="0" w:color="FFFFFF"/>
              <w:right w:val="single" w:sz="8" w:space="0" w:color="FFFFFF"/>
            </w:tcBorders>
            <w:tcMar>
              <w:top w:w="75" w:type="dxa"/>
              <w:start w:w="100" w:type="dxa"/>
              <w:bottom w:w="75" w:type="dxa"/>
              <w:end w:w="100" w:type="dxa"/>
            </w:tcMar>
          </w:tcPr>
          <w:p>
            <w:pPr>
              <w:spacing w:before="0" w:after="0" w:line="247" w:lineRule="auto"/>
              <w:jc w:val="center"/>
            </w:pPr>
            <w:r>
              <w:rPr>
                <w:rFonts w:ascii="Aptos" w:hAnsi="Aptos"/>
                <w:b/>
                <w:i w:val="0"/>
                <w:color w:val="FFFFFF"/>
                <w:sz w:val="14"/>
              </w:rPr>
              <w:t>Kaynak</w:t>
            </w:r>
          </w:p>
        </w:tc>
        <w:tc>
          <w:tcPr>
            <w:tcW w:type="dxa" w:w="2064"/>
            <w:shd w:fill="17365D"/>
            <w:tcBorders>
              <w:top w:val="single" w:sz="8" w:space="0" w:color="FFFFFF"/>
              <w:left w:val="single" w:sz="8" w:space="0" w:color="FFFFFF"/>
              <w:bottom w:val="single" w:sz="8" w:space="0" w:color="FFFFFF"/>
              <w:right w:val="single" w:sz="8" w:space="0" w:color="FFFFFF"/>
            </w:tcBorders>
            <w:tcMar>
              <w:top w:w="75" w:type="dxa"/>
              <w:start w:w="100" w:type="dxa"/>
              <w:bottom w:w="75" w:type="dxa"/>
              <w:end w:w="100" w:type="dxa"/>
            </w:tcMar>
          </w:tcPr>
          <w:p>
            <w:pPr>
              <w:spacing w:before="0" w:after="0" w:line="247" w:lineRule="auto"/>
              <w:jc w:val="center"/>
            </w:pPr>
            <w:r>
              <w:rPr>
                <w:rFonts w:ascii="Aptos" w:hAnsi="Aptos"/>
                <w:b/>
                <w:i w:val="0"/>
                <w:color w:val="FFFFFF"/>
                <w:sz w:val="14"/>
              </w:rPr>
              <w:t>Sinyal</w:t>
            </w:r>
          </w:p>
        </w:tc>
        <w:tc>
          <w:tcPr>
            <w:tcW w:type="dxa" w:w="2064"/>
            <w:shd w:fill="17365D"/>
            <w:tcBorders>
              <w:top w:val="single" w:sz="8" w:space="0" w:color="FFFFFF"/>
              <w:left w:val="single" w:sz="8" w:space="0" w:color="FFFFFF"/>
              <w:bottom w:val="single" w:sz="8" w:space="0" w:color="FFFFFF"/>
              <w:right w:val="single" w:sz="8" w:space="0" w:color="FFFFFF"/>
            </w:tcBorders>
            <w:tcMar>
              <w:top w:w="75" w:type="dxa"/>
              <w:start w:w="100" w:type="dxa"/>
              <w:bottom w:w="75" w:type="dxa"/>
              <w:end w:w="100" w:type="dxa"/>
            </w:tcMar>
          </w:tcPr>
          <w:p>
            <w:pPr>
              <w:spacing w:before="0" w:after="0" w:line="247" w:lineRule="auto"/>
              <w:jc w:val="center"/>
            </w:pPr>
            <w:r>
              <w:rPr>
                <w:rFonts w:ascii="Aptos" w:hAnsi="Aptos"/>
                <w:b/>
                <w:i w:val="0"/>
                <w:color w:val="FFFFFF"/>
                <w:sz w:val="14"/>
              </w:rPr>
              <w:t>Ham çözünürlük</w:t>
            </w:r>
          </w:p>
        </w:tc>
        <w:tc>
          <w:tcPr>
            <w:tcW w:type="dxa" w:w="2064"/>
            <w:shd w:fill="17365D"/>
            <w:tcBorders>
              <w:top w:val="single" w:sz="8" w:space="0" w:color="FFFFFF"/>
              <w:left w:val="single" w:sz="8" w:space="0" w:color="FFFFFF"/>
              <w:bottom w:val="single" w:sz="8" w:space="0" w:color="FFFFFF"/>
              <w:right w:val="single" w:sz="8" w:space="0" w:color="FFFFFF"/>
            </w:tcBorders>
            <w:tcMar>
              <w:top w:w="75" w:type="dxa"/>
              <w:start w:w="100" w:type="dxa"/>
              <w:bottom w:w="75" w:type="dxa"/>
              <w:end w:w="100" w:type="dxa"/>
            </w:tcMar>
          </w:tcPr>
          <w:p>
            <w:pPr>
              <w:spacing w:before="0" w:after="0" w:line="247" w:lineRule="auto"/>
              <w:jc w:val="center"/>
            </w:pPr>
            <w:r>
              <w:rPr>
                <w:rFonts w:ascii="Aptos" w:hAnsi="Aptos"/>
                <w:b/>
                <w:i w:val="0"/>
                <w:color w:val="FFFFFF"/>
                <w:sz w:val="14"/>
              </w:rPr>
              <w:t>Birim / alan</w:t>
            </w:r>
          </w:p>
        </w:tc>
        <w:tc>
          <w:tcPr>
            <w:tcW w:type="dxa" w:w="2064"/>
            <w:shd w:fill="17365D"/>
            <w:tcBorders>
              <w:top w:val="single" w:sz="8" w:space="0" w:color="FFFFFF"/>
              <w:left w:val="single" w:sz="8" w:space="0" w:color="FFFFFF"/>
              <w:bottom w:val="single" w:sz="8" w:space="0" w:color="FFFFFF"/>
              <w:right w:val="single" w:sz="8" w:space="0" w:color="FFFFFF"/>
            </w:tcBorders>
            <w:tcMar>
              <w:top w:w="75" w:type="dxa"/>
              <w:start w:w="100" w:type="dxa"/>
              <w:bottom w:w="75" w:type="dxa"/>
              <w:end w:w="100" w:type="dxa"/>
            </w:tcMar>
          </w:tcPr>
          <w:p>
            <w:pPr>
              <w:spacing w:before="0" w:after="0" w:line="247" w:lineRule="auto"/>
              <w:jc w:val="center"/>
            </w:pPr>
            <w:r>
              <w:rPr>
                <w:rFonts w:ascii="Aptos" w:hAnsi="Aptos"/>
                <w:b/>
                <w:i w:val="0"/>
                <w:color w:val="FFFFFF"/>
                <w:sz w:val="14"/>
              </w:rPr>
              <w:t>Projede kullanım</w:t>
            </w:r>
          </w:p>
        </w:tc>
      </w:tr>
      <w:tr>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EnergyZero</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Hollanda saatlik fiyatı</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Saatlik</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€/kWh</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Hedef ölçü; ucuz saat bayrağı</w:t>
            </w:r>
          </w:p>
        </w:tc>
      </w:tr>
      <w:tr>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ENTSO-E</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Kaynağa göre üretim</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Saatlik</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MW</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Üretim karması ve renewable_share</w:t>
            </w:r>
          </w:p>
        </w:tc>
      </w:tr>
      <w:tr>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Open-Meteo</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Rüzgâr + güneş</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Saatlik</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m/s, W/m²</w:t>
            </w:r>
          </w:p>
        </w:tc>
        <w:tc>
          <w:tcPr>
            <w:tcW w:type="dxa" w:w="2064"/>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Açıklayıcı değişken ve ML girdisi</w:t>
            </w:r>
          </w:p>
        </w:tc>
      </w:tr>
      <w:tr>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Wattnet</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Yaşam döngüsü karbon</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15 dakika</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gCO₂e/kWh</w:t>
            </w:r>
          </w:p>
        </w:tc>
        <w:tc>
          <w:tcPr>
            <w:tcW w:type="dxa" w:w="2064"/>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Düşük karbon ölçütü; saatlik ortalama</w:t>
            </w:r>
          </w:p>
        </w:tc>
      </w:tr>
    </w:tbl>
    <w:p>
      <w:pPr>
        <w:spacing w:before="100" w:after="60" w:line="247" w:lineRule="auto"/>
        <w:keepNext/>
      </w:pPr>
      <w:r>
        <w:rPr>
          <w:rFonts w:ascii="Aptos" w:hAnsi="Aptos"/>
          <w:b/>
          <w:i w:val="0"/>
          <w:color w:val="17365D"/>
          <w:sz w:val="22"/>
        </w:rPr>
        <w:t>Wattnet karbon çağrısı ve güvenli kimlik doğrulama</w:t>
      </w:r>
    </w:p>
    <w:p>
      <w:pPr>
        <w:pStyle w:val="ListBullet"/>
        <w:spacing w:before="0" w:after="44" w:line="247" w:lineRule="auto"/>
      </w:pPr>
      <w:r>
        <w:rPr>
          <w:rFonts w:ascii="Aptos" w:hAnsi="Aptos"/>
          <w:b w:val="0"/>
          <w:i w:val="0"/>
          <w:color w:val="17243A"/>
          <w:sz w:val="17"/>
        </w:rPr>
        <w:t>GET /v1/footprints; zone=NL, footprint_type=carbon, scope=life-cycle, aggregate=false, use_global=true.</w:t>
      </w:r>
    </w:p>
    <w:p>
      <w:pPr>
        <w:pStyle w:val="ListBullet"/>
        <w:spacing w:before="0" w:after="44" w:line="247" w:lineRule="auto"/>
      </w:pPr>
      <w:r>
        <w:rPr>
          <w:rFonts w:ascii="Aptos" w:hAnsi="Aptos"/>
          <w:b w:val="0"/>
          <w:i w:val="0"/>
          <w:color w:val="17243A"/>
          <w:sz w:val="17"/>
        </w:rPr>
        <w:t>start/end değerleri timezone-aware UTC ISO 8601 olarak gönderiliyor; API yanıtındaki metadata, valid ve zone_status alanları doğrulanıyor.</w:t>
      </w:r>
    </w:p>
    <w:p>
      <w:pPr>
        <w:pStyle w:val="ListBullet"/>
        <w:spacing w:before="0" w:after="44" w:line="247" w:lineRule="auto"/>
      </w:pPr>
      <w:r>
        <w:rPr>
          <w:rFonts w:ascii="Aptos" w:hAnsi="Aptos"/>
          <w:b w:val="0"/>
          <w:i w:val="0"/>
          <w:color w:val="17243A"/>
          <w:sz w:val="17"/>
        </w:rPr>
        <w:t>Token veya geçici cookie yalnızca git-ignore edilen .env dosyasından okunuyor; sırlar kodda veya repoda tutulmuyor.</w:t>
      </w:r>
    </w:p>
    <w:p>
      <w:pPr>
        <w:spacing w:before="100" w:after="60" w:line="247" w:lineRule="auto"/>
        <w:keepNext/>
      </w:pPr>
      <w:r>
        <w:rPr>
          <w:rFonts w:ascii="Aptos" w:hAnsi="Aptos"/>
          <w:b/>
          <w:i w:val="0"/>
          <w:color w:val="17365D"/>
          <w:sz w:val="22"/>
        </w:rPr>
        <w:t>Kaynak güvenilirliği nasıl ele alındı?</w:t>
      </w:r>
    </w:p>
    <w:tbl>
      <w:tblPr>
        <w:tblW w:type="auto" w:w="0"/>
        <w:jc w:val="center"/>
        <w:tblLayout w:type="autofit"/>
        <w:tblLook w:firstColumn="1" w:firstRow="1" w:lastColumn="0" w:lastRow="0" w:noHBand="0" w:noVBand="1" w:val="04A0"/>
      </w:tblPr>
      <w:tblGrid>
        <w:gridCol w:w="5161"/>
        <w:gridCol w:w="5161"/>
      </w:tblGrid>
      <w:tr>
        <w:tc>
          <w:tcPr>
            <w:tcW w:type="dxa" w:w="5161"/>
            <w:shd w:fill="EAF2FB"/>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Şema + metadata doğrulaması</w:t>
            </w:r>
          </w:p>
          <w:p>
            <w:pPr>
              <w:spacing w:before="0" w:after="0" w:line="247" w:lineRule="auto"/>
            </w:pPr>
            <w:r>
              <w:rPr>
                <w:rFonts w:ascii="Aptos" w:hAnsi="Aptos"/>
                <w:b w:val="0"/>
                <w:i w:val="0"/>
                <w:color w:val="17243A"/>
                <w:sz w:val="14"/>
              </w:rPr>
              <w:t>Beklenen sütunlar, birimler, zaman aralığı, çözünürlük ve durum alanları kontrol edildi.</w:t>
            </w:r>
          </w:p>
        </w:tc>
        <w:tc>
          <w:tcPr>
            <w:tcW w:type="dxa" w:w="5161"/>
            <w:shd w:fill="EEF8ED"/>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Kaynaklar arası anlam ayrımı</w:t>
            </w:r>
          </w:p>
          <w:p>
            <w:pPr>
              <w:spacing w:before="0" w:after="0" w:line="247" w:lineRule="auto"/>
            </w:pPr>
            <w:r>
              <w:rPr>
                <w:rFonts w:ascii="Aptos" w:hAnsi="Aptos"/>
                <w:b w:val="0"/>
                <w:i w:val="0"/>
                <w:color w:val="17243A"/>
                <w:sz w:val="14"/>
              </w:rPr>
              <w:t>Karbon ölçütü Wattnet’tir; yenilenebilir payı açıklayıcıdır ve karbonun yerine kullanılmaz.</w:t>
            </w:r>
          </w:p>
        </w:tc>
      </w:tr>
      <w:tr>
        <w:tc>
          <w:tcPr>
            <w:tcW w:type="dxa" w:w="5161"/>
            <w:shd w:fill="EAF2FB"/>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UTC-first yaklaşımı</w:t>
            </w:r>
          </w:p>
          <w:p>
            <w:pPr>
              <w:spacing w:before="0" w:after="0" w:line="247" w:lineRule="auto"/>
            </w:pPr>
            <w:r>
              <w:rPr>
                <w:rFonts w:ascii="Aptos" w:hAnsi="Aptos"/>
                <w:b w:val="0"/>
                <w:i w:val="0"/>
                <w:color w:val="17243A"/>
                <w:sz w:val="14"/>
              </w:rPr>
              <w:t>DST kaynaklı yerel saat tekrarları birleşim anahtarına sokulmadı; yerel saat yalnızca sunum katmanında üretildi.</w:t>
            </w:r>
          </w:p>
        </w:tc>
        <w:tc>
          <w:tcPr>
            <w:tcW w:type="dxa" w:w="5161"/>
            <w:shd w:fill="EEF8ED"/>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Traceability</w:t>
            </w:r>
          </w:p>
          <w:p>
            <w:pPr>
              <w:spacing w:before="0" w:after="0" w:line="247" w:lineRule="auto"/>
            </w:pPr>
            <w:r>
              <w:rPr>
                <w:rFonts w:ascii="Aptos" w:hAnsi="Aptos"/>
                <w:b w:val="0"/>
                <w:i w:val="0"/>
                <w:color w:val="17243A"/>
                <w:sz w:val="14"/>
              </w:rPr>
              <w:t>Ham dosyalar ayrı saklandı; temiz tablo ve dashboard export’u aynı dönüşüm zincirinden üretildi.</w:t>
            </w:r>
          </w:p>
        </w:tc>
      </w:tr>
    </w:tbl>
    <w:tbl>
      <w:tblPr>
        <w:tblW w:type="auto" w:w="0"/>
        <w:jc w:val="center"/>
        <w:tblLayout w:type="fixed"/>
        <w:tblLook w:firstColumn="1" w:firstRow="1" w:lastColumn="0" w:lastRow="0" w:noHBand="0" w:noVBand="1" w:val="04A0"/>
      </w:tblPr>
      <w:tblGrid>
        <w:gridCol w:w="173"/>
        <w:gridCol w:w="9907"/>
      </w:tblGrid>
      <w:tr>
        <w:tc>
          <w:tcPr>
            <w:tcW w:type="dxa" w:w="5161"/>
            <w:shd w:fill="B9F65A"/>
            <w:tcBorders>
              <w:top w:val="single" w:sz="0" w:space="0" w:color="B9F65A"/>
              <w:left w:val="single" w:sz="0" w:space="0" w:color="B9F65A"/>
              <w:bottom w:val="single" w:sz="0" w:space="0" w:color="B9F65A"/>
              <w:right w:val="single" w:sz="0" w:space="0" w:color="B9F65A"/>
            </w:tcBorders>
          </w:tcPr>
          <w:p/>
        </w:tc>
        <w:tc>
          <w:tcPr>
            <w:tcW w:type="dxa" w:w="5161"/>
            <w:shd w:fill="FFF4D6"/>
            <w:tcBorders>
              <w:top w:val="single" w:sz="0" w:space="0" w:color="FFF4D6"/>
              <w:left w:val="single" w:sz="0" w:space="0" w:color="FFF4D6"/>
              <w:bottom w:val="single" w:sz="0" w:space="0" w:color="FFF4D6"/>
              <w:right w:val="single" w:sz="0" w:space="0" w:color="FFF4D6"/>
            </w:tcBorders>
            <w:tcMar>
              <w:top w:w="100" w:type="dxa"/>
              <w:start w:w="125" w:type="dxa"/>
              <w:bottom w:w="100" w:type="dxa"/>
              <w:end w:w="125" w:type="dxa"/>
            </w:tcMar>
          </w:tcPr>
          <w:p>
            <w:pPr>
              <w:spacing w:before="0" w:after="20" w:line="247" w:lineRule="auto"/>
            </w:pPr>
            <w:r>
              <w:rPr>
                <w:rFonts w:ascii="Aptos" w:hAnsi="Aptos"/>
                <w:b/>
                <w:i w:val="0"/>
                <w:color w:val="17365D"/>
                <w:sz w:val="18"/>
              </w:rPr>
              <w:t>Teknik karar</w:t>
            </w:r>
          </w:p>
          <w:p>
            <w:pPr>
              <w:spacing w:before="0" w:after="0" w:line="247" w:lineRule="auto"/>
            </w:pPr>
            <w:r>
              <w:rPr>
                <w:rFonts w:ascii="Aptos" w:hAnsi="Aptos"/>
                <w:b w:val="0"/>
                <w:i w:val="0"/>
                <w:color w:val="17243A"/>
                <w:sz w:val="16"/>
              </w:rPr>
              <w:t>Ham kaynakları doğrudan aynı granülerlikteymiş gibi birleştirmedim. Önce her kaynağı kendi anlamına uygun biçimde temizleyip saatliğe getirdim; sonra inner join ile yalnızca tam eşleşen saatleri analiz ettim.</w:t>
            </w:r>
          </w:p>
        </w:tc>
      </w:tr>
    </w:tbl>
    <w:p>
      <w:r>
        <w:br w:type="page"/>
      </w:r>
    </w:p>
    <w:tbl>
      <w:tblPr>
        <w:tblW w:type="auto" w:w="0"/>
        <w:jc w:val="center"/>
        <w:tblLayout w:type="fixed"/>
        <w:tblLook w:firstColumn="1" w:firstRow="1" w:lastColumn="0" w:lastRow="0" w:noHBand="0" w:noVBand="1" w:val="04A0"/>
      </w:tblPr>
      <w:tblGrid>
        <w:gridCol w:w="8136"/>
        <w:gridCol w:w="1944"/>
      </w:tblGrid>
      <w:tr>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left"/>
            </w:pPr>
            <w:r>
              <w:rPr>
                <w:rFonts w:ascii="Aptos" w:hAnsi="Aptos"/>
                <w:b/>
                <w:i w:val="0"/>
                <w:color w:val="FFFFFF"/>
                <w:sz w:val="32"/>
              </w:rPr>
              <w:t>Veri mühendisliği ve MySQL</w:t>
            </w:r>
          </w:p>
        </w:tc>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right"/>
            </w:pPr>
            <w:r>
              <w:rPr>
                <w:rFonts w:ascii="Aptos" w:hAnsi="Aptos"/>
                <w:b/>
                <w:i w:val="0"/>
                <w:color w:val="B9F65A"/>
                <w:sz w:val="16"/>
              </w:rPr>
              <w:t>02</w:t>
            </w:r>
          </w:p>
        </w:tc>
      </w:tr>
    </w:tbl>
    <w:p>
      <w:pPr>
        <w:spacing w:before="60" w:after="140" w:line="247" w:lineRule="auto"/>
      </w:pPr>
      <w:r>
        <w:rPr>
          <w:rFonts w:ascii="Aptos" w:hAnsi="Aptos"/>
          <w:b w:val="0"/>
          <w:i w:val="0"/>
          <w:color w:val="52647A"/>
          <w:sz w:val="17"/>
        </w:rPr>
        <w:t>Amaç: tekrar çalıştırılabilir, izlenebilir ve güvenli bir ETL zinciri kurmak.</w:t>
      </w:r>
    </w:p>
    <w:p>
      <w:pPr>
        <w:spacing w:before="100" w:after="60" w:line="247" w:lineRule="auto"/>
        <w:keepNext/>
      </w:pPr>
      <w:r>
        <w:rPr>
          <w:rFonts w:ascii="Aptos" w:hAnsi="Aptos"/>
          <w:b/>
          <w:i w:val="0"/>
          <w:color w:val="17365D"/>
          <w:sz w:val="22"/>
        </w:rPr>
        <w:t>Uçtan uca dönüşüm sırası</w:t>
      </w:r>
    </w:p>
    <w:p>
      <w:pPr>
        <w:pStyle w:val="ListNumber"/>
        <w:spacing w:before="0" w:after="44" w:line="247" w:lineRule="auto"/>
      </w:pPr>
      <w:r>
        <w:rPr>
          <w:rFonts w:ascii="Aptos" w:hAnsi="Aptos"/>
          <w:b w:val="0"/>
          <w:i w:val="0"/>
          <w:color w:val="17243A"/>
          <w:sz w:val="16"/>
        </w:rPr>
        <w:t>Ingest — HTTP durumunu, JSON şemasını, zorunlu alanları ve değer aralıklarını doğrula; raw CSV’leri ayrı kaydet.</w:t>
      </w:r>
    </w:p>
    <w:p>
      <w:pPr>
        <w:pStyle w:val="ListNumber"/>
        <w:spacing w:before="0" w:after="44" w:line="247" w:lineRule="auto"/>
      </w:pPr>
      <w:r>
        <w:rPr>
          <w:rFonts w:ascii="Aptos" w:hAnsi="Aptos"/>
          <w:b w:val="0"/>
          <w:i w:val="0"/>
          <w:color w:val="17243A"/>
          <w:sz w:val="16"/>
        </w:rPr>
        <w:t>Normalize — timestamp alanlarını timezone-aware UTC’ye çevir; sıralama, numeric cast, duplicate ve negatif değer kontrollerini uygula.</w:t>
      </w:r>
    </w:p>
    <w:p>
      <w:pPr>
        <w:pStyle w:val="ListNumber"/>
        <w:spacing w:before="0" w:after="44" w:line="247" w:lineRule="auto"/>
      </w:pPr>
      <w:r>
        <w:rPr>
          <w:rFonts w:ascii="Aptos" w:hAnsi="Aptos"/>
          <w:b w:val="0"/>
          <w:i w:val="0"/>
          <w:color w:val="17243A"/>
          <w:sz w:val="16"/>
        </w:rPr>
        <w:t>Aggregate — Wattnet 15 dakikalık değerlerini saatlik ortalamaya getir; count=4 olmayan saatleri dışla. Üretim ve hava verisini saatlik hizala.</w:t>
      </w:r>
    </w:p>
    <w:p>
      <w:pPr>
        <w:pStyle w:val="ListNumber"/>
        <w:spacing w:before="0" w:after="44" w:line="247" w:lineRule="auto"/>
      </w:pPr>
      <w:r>
        <w:rPr>
          <w:rFonts w:ascii="Aptos" w:hAnsi="Aptos"/>
          <w:b w:val="0"/>
          <w:i w:val="0"/>
          <w:color w:val="17243A"/>
          <w:sz w:val="16"/>
        </w:rPr>
        <w:t>Merge — fiyat, üretim, hava ve karbonu UTC timestamp üzerinde inner join ile birleştir; eksik kaynaklı saatleri temiz tablodan çıkar.</w:t>
      </w:r>
    </w:p>
    <w:p>
      <w:pPr>
        <w:pStyle w:val="ListNumber"/>
        <w:spacing w:before="0" w:after="44" w:line="247" w:lineRule="auto"/>
      </w:pPr>
      <w:r>
        <w:rPr>
          <w:rFonts w:ascii="Aptos" w:hAnsi="Aptos"/>
          <w:b w:val="0"/>
          <w:i w:val="0"/>
          <w:color w:val="17243A"/>
          <w:sz w:val="16"/>
        </w:rPr>
        <w:t>Engineer — total_generation, renewable_generation, renewable_share ve tarihsel eşik bayraklarını üret.</w:t>
      </w:r>
    </w:p>
    <w:p>
      <w:pPr>
        <w:pStyle w:val="ListNumber"/>
        <w:spacing w:before="0" w:after="44" w:line="247" w:lineRule="auto"/>
      </w:pPr>
      <w:r>
        <w:rPr>
          <w:rFonts w:ascii="Aptos" w:hAnsi="Aptos"/>
          <w:b w:val="0"/>
          <w:i w:val="0"/>
          <w:color w:val="17243A"/>
          <w:sz w:val="16"/>
        </w:rPr>
        <w:t>Load + QA — MySQL şemasını idempotent biçimde oluştur/güncelle; tabloyu yükle, SQL view ve kalite kontrollerini çalıştır.</w:t>
      </w:r>
    </w:p>
    <w:p>
      <w:pPr>
        <w:spacing w:before="100" w:after="60" w:line="247" w:lineRule="auto"/>
        <w:keepNext/>
      </w:pPr>
      <w:r>
        <w:rPr>
          <w:rFonts w:ascii="Aptos" w:hAnsi="Aptos"/>
          <w:b/>
          <w:i w:val="0"/>
          <w:color w:val="17365D"/>
          <w:sz w:val="22"/>
        </w:rPr>
        <w:t>Ana veri sözlüğü</w:t>
      </w:r>
    </w:p>
    <w:tbl>
      <w:tblPr>
        <w:tblW w:type="auto" w:w="0"/>
        <w:jc w:val="center"/>
        <w:tblLayout w:type="autofit"/>
        <w:tblLook w:firstColumn="1" w:firstRow="1" w:lastColumn="0" w:lastRow="0" w:noHBand="0" w:noVBand="1" w:val="04A0"/>
      </w:tblPr>
      <w:tblGrid>
        <w:gridCol w:w="3441"/>
        <w:gridCol w:w="3441"/>
        <w:gridCol w:w="3441"/>
      </w:tblGrid>
      <w:tr>
        <w:tc>
          <w:tcPr>
            <w:tcW w:type="dxa" w:w="3441"/>
            <w:shd w:fill="17365D"/>
            <w:tcBorders>
              <w:top w:val="single" w:sz="8" w:space="0" w:color="FFFFFF"/>
              <w:left w:val="single" w:sz="8" w:space="0" w:color="FFFFFF"/>
              <w:bottom w:val="single" w:sz="8" w:space="0" w:color="FFFFFF"/>
              <w:right w:val="single" w:sz="8" w:space="0" w:color="FFFFFF"/>
            </w:tcBorders>
          </w:tcPr>
          <w:p>
            <w:pPr>
              <w:spacing w:before="0" w:after="0" w:line="247" w:lineRule="auto"/>
              <w:jc w:val="center"/>
            </w:pPr>
            <w:r>
              <w:rPr>
                <w:rFonts w:ascii="Aptos" w:hAnsi="Aptos"/>
                <w:b/>
                <w:i w:val="0"/>
                <w:color w:val="FFFFFF"/>
                <w:sz w:val="14"/>
              </w:rPr>
              <w:t>Alan</w:t>
            </w:r>
          </w:p>
        </w:tc>
        <w:tc>
          <w:tcPr>
            <w:tcW w:type="dxa" w:w="3441"/>
            <w:shd w:fill="17365D"/>
            <w:tcBorders>
              <w:top w:val="single" w:sz="8" w:space="0" w:color="FFFFFF"/>
              <w:left w:val="single" w:sz="8" w:space="0" w:color="FFFFFF"/>
              <w:bottom w:val="single" w:sz="8" w:space="0" w:color="FFFFFF"/>
              <w:right w:val="single" w:sz="8" w:space="0" w:color="FFFFFF"/>
            </w:tcBorders>
          </w:tcPr>
          <w:p>
            <w:pPr>
              <w:spacing w:before="0" w:after="0" w:line="247" w:lineRule="auto"/>
              <w:jc w:val="center"/>
            </w:pPr>
            <w:r>
              <w:rPr>
                <w:rFonts w:ascii="Aptos" w:hAnsi="Aptos"/>
                <w:b/>
                <w:i w:val="0"/>
                <w:color w:val="FFFFFF"/>
                <w:sz w:val="14"/>
              </w:rPr>
              <w:t>Tanım</w:t>
            </w:r>
          </w:p>
        </w:tc>
        <w:tc>
          <w:tcPr>
            <w:tcW w:type="dxa" w:w="3441"/>
            <w:shd w:fill="17365D"/>
            <w:tcBorders>
              <w:top w:val="single" w:sz="8" w:space="0" w:color="FFFFFF"/>
              <w:left w:val="single" w:sz="8" w:space="0" w:color="FFFFFF"/>
              <w:bottom w:val="single" w:sz="8" w:space="0" w:color="FFFFFF"/>
              <w:right w:val="single" w:sz="8" w:space="0" w:color="FFFFFF"/>
            </w:tcBorders>
          </w:tcPr>
          <w:p>
            <w:pPr>
              <w:spacing w:before="0" w:after="0" w:line="247" w:lineRule="auto"/>
              <w:jc w:val="center"/>
            </w:pPr>
            <w:r>
              <w:rPr>
                <w:rFonts w:ascii="Aptos" w:hAnsi="Aptos"/>
                <w:b/>
                <w:i w:val="0"/>
                <w:color w:val="FFFFFF"/>
                <w:sz w:val="14"/>
              </w:rPr>
              <w:t>Kontrol / kullanım</w:t>
            </w:r>
          </w:p>
        </w:tc>
      </w:tr>
      <w:tr>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i w:val="0"/>
                <w:color w:val="17243A"/>
                <w:sz w:val="14"/>
              </w:rPr>
              <w:t>timestamp</w:t>
            </w:r>
          </w:p>
        </w:tc>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UTC saat başlangıcı</w:t>
            </w:r>
          </w:p>
        </w:tc>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Primary/unique zaman anahtarı</w:t>
            </w:r>
          </w:p>
        </w:tc>
      </w:tr>
      <w:tr>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i w:val="0"/>
                <w:color w:val="17243A"/>
                <w:sz w:val="14"/>
              </w:rPr>
              <w:t>electricity_price</w:t>
            </w:r>
          </w:p>
        </w:tc>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Saatlik enerji fiyatı</w:t>
            </w:r>
          </w:p>
        </w:tc>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Ucuz = alt çeyrek</w:t>
            </w:r>
          </w:p>
        </w:tc>
      </w:tr>
      <w:tr>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i w:val="0"/>
                <w:color w:val="17243A"/>
                <w:sz w:val="14"/>
              </w:rPr>
              <w:t>carbon_intensity_gco2_kwh</w:t>
            </w:r>
          </w:p>
        </w:tc>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Saatlik yaşam döngüsü yoğunluğu</w:t>
            </w:r>
          </w:p>
        </w:tc>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Düşük karbon = alt çeyrek</w:t>
            </w:r>
          </w:p>
        </w:tc>
      </w:tr>
      <w:tr>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i w:val="0"/>
                <w:color w:val="17243A"/>
                <w:sz w:val="14"/>
              </w:rPr>
              <w:t>renewable_share</w:t>
            </w:r>
          </w:p>
        </w:tc>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Yenilenebilir üretim / toplam üretim</w:t>
            </w:r>
          </w:p>
        </w:tc>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0–1 aralığı; açıklayıcı değişken</w:t>
            </w:r>
          </w:p>
        </w:tc>
      </w:tr>
      <w:tr>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i w:val="0"/>
                <w:color w:val="17243A"/>
                <w:sz w:val="14"/>
              </w:rPr>
              <w:t>is_cheap_and_low_carbon</w:t>
            </w:r>
          </w:p>
        </w:tc>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İki alt-çeyrek koşulunun kesişimi</w:t>
            </w:r>
          </w:p>
        </w:tc>
        <w:tc>
          <w:tcPr>
            <w:tcW w:type="dxa" w:w="3441"/>
            <w:shd w:fill="EAF2FB"/>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KPI ve saat örüntüsü</w:t>
            </w:r>
          </w:p>
        </w:tc>
      </w:tr>
      <w:tr>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i w:val="0"/>
                <w:color w:val="17243A"/>
                <w:sz w:val="14"/>
              </w:rPr>
              <w:t>wind_speed, solar_radiation</w:t>
            </w:r>
          </w:p>
        </w:tc>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Saatlik hava değişkenleri</w:t>
            </w:r>
          </w:p>
        </w:tc>
        <w:tc>
          <w:tcPr>
            <w:tcW w:type="dxa" w:w="3441"/>
            <w:shd w:fill="FFFFFF"/>
            <w:tcBorders>
              <w:top w:val="single" w:sz="5" w:space="0" w:color="C9D7E8"/>
              <w:left w:val="single" w:sz="5" w:space="0" w:color="C9D7E8"/>
              <w:bottom w:val="single" w:sz="5" w:space="0" w:color="C9D7E8"/>
              <w:right w:val="single" w:sz="5" w:space="0" w:color="C9D7E8"/>
            </w:tcBorders>
            <w:tcMar>
              <w:top w:w="60" w:type="dxa"/>
              <w:start w:w="100" w:type="dxa"/>
              <w:bottom w:w="60" w:type="dxa"/>
              <w:end w:w="100" w:type="dxa"/>
            </w:tcMar>
          </w:tcPr>
          <w:p>
            <w:pPr>
              <w:spacing w:before="0" w:after="0" w:line="247" w:lineRule="auto"/>
              <w:jc w:val="left"/>
            </w:pPr>
            <w:r>
              <w:rPr>
                <w:rFonts w:ascii="Aptos" w:hAnsi="Aptos"/>
                <w:b w:val="0"/>
                <w:i w:val="0"/>
                <w:color w:val="17243A"/>
                <w:sz w:val="14"/>
              </w:rPr>
              <w:t>EDA ve next-hour price model girdisi</w:t>
            </w:r>
          </w:p>
        </w:tc>
      </w:tr>
    </w:tbl>
    <w:p>
      <w:pPr>
        <w:spacing w:before="100" w:after="60" w:line="247" w:lineRule="auto"/>
        <w:keepNext/>
      </w:pPr>
      <w:r>
        <w:rPr>
          <w:rFonts w:ascii="Aptos" w:hAnsi="Aptos"/>
          <w:b/>
          <w:i w:val="0"/>
          <w:color w:val="17365D"/>
          <w:sz w:val="22"/>
        </w:rPr>
        <w:t>MySQL ve SQL katmanında neler var?</w:t>
      </w:r>
    </w:p>
    <w:tbl>
      <w:tblPr>
        <w:tblW w:type="auto" w:w="0"/>
        <w:jc w:val="center"/>
        <w:tblLayout w:type="autofit"/>
        <w:tblLook w:firstColumn="1" w:firstRow="1" w:lastColumn="0" w:lastRow="0" w:noHBand="0" w:noVBand="1" w:val="04A0"/>
      </w:tblPr>
      <w:tblGrid>
        <w:gridCol w:w="5161"/>
        <w:gridCol w:w="5161"/>
      </w:tblGrid>
      <w:tr>
        <w:tc>
          <w:tcPr>
            <w:tcW w:type="dxa" w:w="5161"/>
            <w:shd w:fill="EAF2FB"/>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Güvenli bağlantı</w:t>
            </w:r>
          </w:p>
          <w:p>
            <w:r>
              <w:rPr>
                <w:rFonts w:ascii="Aptos" w:hAnsi="Aptos"/>
                <w:b w:val="0"/>
                <w:i w:val="0"/>
                <w:color w:val="17243A"/>
                <w:sz w:val="14"/>
              </w:rPr>
              <w:t>SQLAlchemy + PyMySQL; kullanıcı, parola, host ve veritabanı .env’den alınır.</w:t>
            </w:r>
          </w:p>
        </w:tc>
        <w:tc>
          <w:tcPr>
            <w:tcW w:type="dxa" w:w="5161"/>
            <w:shd w:fill="EEF8ED"/>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İdempotent şema</w:t>
            </w:r>
          </w:p>
          <w:p>
            <w:r>
              <w:rPr>
                <w:rFonts w:ascii="Aptos" w:hAnsi="Aptos"/>
                <w:b w:val="0"/>
                <w:i w:val="0"/>
                <w:color w:val="17243A"/>
                <w:sz w:val="14"/>
              </w:rPr>
              <w:t>ensure_hourly_data_schema yeni karbon sütununu yalnızca eksikse ekler; tekrar çalıştırma güvenlidir.</w:t>
            </w:r>
          </w:p>
        </w:tc>
      </w:tr>
      <w:tr>
        <w:tc>
          <w:tcPr>
            <w:tcW w:type="dxa" w:w="5161"/>
            <w:shd w:fill="EEF8ED"/>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Analitik view’lar</w:t>
            </w:r>
          </w:p>
          <w:p>
            <w:r>
              <w:rPr>
                <w:rFonts w:ascii="Aptos" w:hAnsi="Aptos"/>
                <w:b w:val="0"/>
                <w:i w:val="0"/>
                <w:color w:val="17243A"/>
                <w:sz w:val="14"/>
              </w:rPr>
              <w:t>vw_analysis_thresholds, vw_hourly_dashboard, vw_daily_summary_utc ve vw_hourly_summary_utc.</w:t>
            </w:r>
          </w:p>
        </w:tc>
        <w:tc>
          <w:tcPr>
            <w:tcW w:type="dxa" w:w="5161"/>
            <w:shd w:fill="EAF2FB"/>
            <w:tcBorders>
              <w:top w:val="single" w:sz="6" w:space="0" w:color="C9D7E8"/>
              <w:left w:val="single" w:sz="6" w:space="0" w:color="C9D7E8"/>
              <w:bottom w:val="single" w:sz="6" w:space="0" w:color="C9D7E8"/>
              <w:right w:val="single" w:sz="6" w:space="0" w:color="C9D7E8"/>
            </w:tcBorders>
            <w:tcMar>
              <w:top w:w="85" w:type="dxa"/>
              <w:start w:w="100" w:type="dxa"/>
              <w:bottom w:w="85" w:type="dxa"/>
              <w:end w:w="100" w:type="dxa"/>
            </w:tcMar>
          </w:tcPr>
          <w:p>
            <w:r>
              <w:rPr>
                <w:rFonts w:ascii="Aptos" w:hAnsi="Aptos"/>
                <w:b/>
                <w:i w:val="0"/>
                <w:color w:val="17365D"/>
                <w:sz w:val="16"/>
              </w:rPr>
              <w:t>Kalite kontrolleri</w:t>
            </w:r>
          </w:p>
          <w:p>
            <w:r>
              <w:rPr>
                <w:rFonts w:ascii="Aptos" w:hAnsi="Aptos"/>
                <w:b w:val="0"/>
                <w:i w:val="0"/>
                <w:color w:val="17243A"/>
                <w:sz w:val="14"/>
              </w:rPr>
              <w:t>Satır/unique sayısı, duplicate, null, aralık, eşik ve flag tutarlılığı SQL ile doğrulanır.</w:t>
            </w:r>
          </w:p>
        </w:tc>
      </w:tr>
    </w:tbl>
    <w:tbl>
      <w:tblPr>
        <w:tblW w:type="auto" w:w="0"/>
        <w:jc w:val="center"/>
        <w:tblLayout w:type="fixed"/>
        <w:tblLook w:firstColumn="1" w:firstRow="1" w:lastColumn="0" w:lastRow="0" w:noHBand="0" w:noVBand="1" w:val="04A0"/>
      </w:tblPr>
      <w:tblGrid>
        <w:gridCol w:w="173"/>
        <w:gridCol w:w="9907"/>
      </w:tblGrid>
      <w:tr>
        <w:tc>
          <w:tcPr>
            <w:tcW w:type="dxa" w:w="5161"/>
            <w:shd w:fill="3B73D9"/>
            <w:tcBorders>
              <w:top w:val="single" w:sz="0" w:space="0" w:color="3B73D9"/>
              <w:left w:val="single" w:sz="0" w:space="0" w:color="3B73D9"/>
              <w:bottom w:val="single" w:sz="0" w:space="0" w:color="3B73D9"/>
              <w:right w:val="single" w:sz="0" w:space="0" w:color="3B73D9"/>
            </w:tcBorders>
          </w:tcPr>
          <w:p/>
        </w:tc>
        <w:tc>
          <w:tcPr>
            <w:tcW w:type="dxa" w:w="5161"/>
            <w:shd w:fill="FFF4D6"/>
            <w:tcBorders>
              <w:top w:val="single" w:sz="0" w:space="0" w:color="FFF4D6"/>
              <w:left w:val="single" w:sz="0" w:space="0" w:color="FFF4D6"/>
              <w:bottom w:val="single" w:sz="0" w:space="0" w:color="FFF4D6"/>
              <w:right w:val="single" w:sz="0" w:space="0" w:color="FFF4D6"/>
            </w:tcBorders>
            <w:tcMar>
              <w:top w:w="100" w:type="dxa"/>
              <w:start w:w="125" w:type="dxa"/>
              <w:bottom w:w="100" w:type="dxa"/>
              <w:end w:w="125" w:type="dxa"/>
            </w:tcMar>
          </w:tcPr>
          <w:p>
            <w:pPr>
              <w:spacing w:before="0" w:after="20" w:line="247" w:lineRule="auto"/>
            </w:pPr>
            <w:r>
              <w:rPr>
                <w:rFonts w:ascii="Aptos" w:hAnsi="Aptos"/>
                <w:b/>
                <w:i w:val="0"/>
                <w:color w:val="17365D"/>
                <w:sz w:val="18"/>
              </w:rPr>
              <w:t>Önemli implementasyon detayı</w:t>
            </w:r>
          </w:p>
          <w:p>
            <w:pPr>
              <w:spacing w:before="0" w:after="0" w:line="247" w:lineRule="auto"/>
            </w:pPr>
            <w:r>
              <w:rPr>
                <w:rFonts w:ascii="Aptos" w:hAnsi="Aptos"/>
                <w:b w:val="0"/>
                <w:i w:val="0"/>
                <w:color w:val="17243A"/>
                <w:sz w:val="16"/>
              </w:rPr>
              <w:t>Pandas ve SQL eşikleri aynı lineer quantile mantığıyla hesaplanıyor. Böylece notebook, veritabanı view’ı, Tableau export’u ve Streamlit aynı ‘ucuz’ / ‘düşük karbon’ tanımını kullanıyor.</w:t>
            </w:r>
          </w:p>
        </w:tc>
      </w:tr>
    </w:tbl>
    <w:p>
      <w:r>
        <w:br w:type="page"/>
      </w:r>
    </w:p>
    <w:tbl>
      <w:tblPr>
        <w:tblW w:type="auto" w:w="0"/>
        <w:jc w:val="center"/>
        <w:tblLayout w:type="fixed"/>
        <w:tblLook w:firstColumn="1" w:firstRow="1" w:lastColumn="0" w:lastRow="0" w:noHBand="0" w:noVBand="1" w:val="04A0"/>
      </w:tblPr>
      <w:tblGrid>
        <w:gridCol w:w="8136"/>
        <w:gridCol w:w="1944"/>
      </w:tblGrid>
      <w:tr>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left"/>
            </w:pPr>
            <w:r>
              <w:rPr>
                <w:rFonts w:ascii="Aptos" w:hAnsi="Aptos"/>
                <w:b/>
                <w:i w:val="0"/>
                <w:color w:val="FFFFFF"/>
                <w:sz w:val="32"/>
              </w:rPr>
              <w:t>Analiz, hipotez ve makine öğrenmesi</w:t>
            </w:r>
          </w:p>
        </w:tc>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right"/>
            </w:pPr>
            <w:r>
              <w:rPr>
                <w:rFonts w:ascii="Aptos" w:hAnsi="Aptos"/>
                <w:b/>
                <w:i w:val="0"/>
                <w:color w:val="B9F65A"/>
                <w:sz w:val="16"/>
              </w:rPr>
              <w:t>03</w:t>
            </w:r>
          </w:p>
        </w:tc>
      </w:tr>
    </w:tbl>
    <w:p>
      <w:pPr>
        <w:spacing w:before="60" w:after="140" w:line="247" w:lineRule="auto"/>
      </w:pPr>
      <w:r>
        <w:rPr>
          <w:rFonts w:ascii="Aptos" w:hAnsi="Aptos"/>
          <w:b w:val="0"/>
          <w:i w:val="0"/>
          <w:color w:val="52647A"/>
          <w:sz w:val="17"/>
        </w:rPr>
        <w:t>İstatistiksel bulgu ile ürünün kullandığı tarihsel karar mantığı birbirinden açıkça ayrıldı.</w:t>
      </w:r>
    </w:p>
    <w:p>
      <w:pPr>
        <w:spacing w:before="100" w:after="60" w:line="247" w:lineRule="auto"/>
        <w:keepNext/>
      </w:pPr>
      <w:r>
        <w:rPr>
          <w:rFonts w:ascii="Aptos" w:hAnsi="Aptos"/>
          <w:b/>
          <w:i w:val="0"/>
          <w:color w:val="17365D"/>
          <w:sz w:val="22"/>
        </w:rPr>
        <w:t>Hipotez ve tarihsel bulgu</w:t>
      </w:r>
    </w:p>
    <w:tbl>
      <w:tblPr>
        <w:tblW w:type="auto" w:w="0"/>
        <w:jc w:val="center"/>
        <w:tblLayout w:type="fixed"/>
        <w:tblLook w:firstColumn="1" w:firstRow="1" w:lastColumn="0" w:lastRow="0" w:noHBand="0" w:noVBand="1" w:val="04A0"/>
      </w:tblPr>
      <w:tblGrid>
        <w:gridCol w:w="173"/>
        <w:gridCol w:w="9907"/>
      </w:tblGrid>
      <w:tr>
        <w:tc>
          <w:tcPr>
            <w:tcW w:type="dxa" w:w="5161"/>
            <w:shd w:fill="3B73D9"/>
            <w:tcBorders>
              <w:top w:val="single" w:sz="0" w:space="0" w:color="3B73D9"/>
              <w:left w:val="single" w:sz="0" w:space="0" w:color="3B73D9"/>
              <w:bottom w:val="single" w:sz="0" w:space="0" w:color="3B73D9"/>
              <w:right w:val="single" w:sz="0" w:space="0" w:color="3B73D9"/>
            </w:tcBorders>
          </w:tcPr>
          <w:p/>
        </w:tc>
        <w:tc>
          <w:tcPr>
            <w:tcW w:type="dxa" w:w="5161"/>
            <w:shd w:fill="EAF2FB"/>
            <w:tcBorders>
              <w:top w:val="single" w:sz="0" w:space="0" w:color="EAF2FB"/>
              <w:left w:val="single" w:sz="0" w:space="0" w:color="EAF2FB"/>
              <w:bottom w:val="single" w:sz="0" w:space="0" w:color="EAF2FB"/>
              <w:right w:val="single" w:sz="0" w:space="0" w:color="EAF2FB"/>
            </w:tcBorders>
            <w:tcMar>
              <w:top w:w="100" w:type="dxa"/>
              <w:start w:w="125" w:type="dxa"/>
              <w:bottom w:w="100" w:type="dxa"/>
              <w:end w:w="125" w:type="dxa"/>
            </w:tcMar>
          </w:tcPr>
          <w:p>
            <w:pPr>
              <w:spacing w:before="0" w:after="20" w:line="247" w:lineRule="auto"/>
            </w:pPr>
            <w:r>
              <w:rPr>
                <w:rFonts w:ascii="Aptos" w:hAnsi="Aptos"/>
                <w:b/>
                <w:i w:val="0"/>
                <w:color w:val="17365D"/>
                <w:sz w:val="18"/>
              </w:rPr>
              <w:t>Başlangıç hipotezi</w:t>
            </w:r>
          </w:p>
          <w:p>
            <w:pPr>
              <w:spacing w:before="0" w:after="0" w:line="247" w:lineRule="auto"/>
            </w:pPr>
            <w:r>
              <w:rPr>
                <w:rFonts w:ascii="Aptos" w:hAnsi="Aptos"/>
                <w:b w:val="0"/>
                <w:i w:val="0"/>
                <w:color w:val="17243A"/>
                <w:sz w:val="16"/>
              </w:rPr>
              <w:t>Öğle saatlerinin, güneş üretiminin etkisiyle daha düşük fiyat ve daha düşük karbon yoğunluğunu birlikte sunması bekleniyordu.</w:t>
            </w:r>
          </w:p>
        </w:tc>
      </w:tr>
    </w:tbl>
    <w:tbl>
      <w:tblPr>
        <w:tblW w:type="auto" w:w="0"/>
        <w:jc w:val="center"/>
        <w:tblLayout w:type="autofit"/>
        <w:tblLook w:firstColumn="1" w:firstRow="1" w:lastColumn="0" w:lastRow="0" w:noHBand="0" w:noVBand="1" w:val="04A0"/>
      </w:tblPr>
      <w:tblGrid>
        <w:gridCol w:w="2580"/>
        <w:gridCol w:w="2580"/>
        <w:gridCol w:w="2580"/>
        <w:gridCol w:w="2580"/>
      </w:tblGrid>
      <w:tr>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12–16</w:t>
            </w:r>
          </w:p>
          <w:p>
            <w:pPr>
              <w:spacing w:before="0" w:after="0" w:line="247" w:lineRule="auto"/>
              <w:jc w:val="center"/>
            </w:pPr>
            <w:r>
              <w:rPr>
                <w:rFonts w:ascii="Aptos" w:hAnsi="Aptos"/>
                <w:b/>
                <w:i w:val="0"/>
                <w:color w:val="17243A"/>
                <w:sz w:val="14"/>
              </w:rPr>
              <w:t>en iyi tarihsel 4 saat</w:t>
            </w:r>
          </w:p>
        </w:tc>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164</w:t>
            </w:r>
          </w:p>
          <w:p>
            <w:pPr>
              <w:spacing w:before="0" w:after="0" w:line="247" w:lineRule="auto"/>
              <w:jc w:val="center"/>
            </w:pPr>
            <w:r>
              <w:rPr>
                <w:rFonts w:ascii="Aptos" w:hAnsi="Aptos"/>
                <w:b/>
                <w:i w:val="0"/>
                <w:color w:val="17243A"/>
                <w:sz w:val="14"/>
              </w:rPr>
              <w:t>iki koşulu sağlayan saat</w:t>
            </w:r>
          </w:p>
        </w:tc>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r=0.495</w:t>
            </w:r>
          </w:p>
          <w:p>
            <w:pPr>
              <w:spacing w:before="0" w:after="0" w:line="247" w:lineRule="auto"/>
              <w:jc w:val="center"/>
            </w:pPr>
            <w:r>
              <w:rPr>
                <w:rFonts w:ascii="Aptos" w:hAnsi="Aptos"/>
                <w:b/>
                <w:i w:val="0"/>
                <w:color w:val="17243A"/>
                <w:sz w:val="14"/>
              </w:rPr>
              <w:t>fiyat–karbon ilişkisi</w:t>
            </w:r>
          </w:p>
        </w:tc>
        <w:tc>
          <w:tcPr>
            <w:tcW w:type="dxa" w:w="2580"/>
            <w:shd w:fill="EAF2FB"/>
            <w:tcBorders>
              <w:top w:val="single" w:sz="7" w:space="0" w:color="C9D7E8"/>
              <w:left w:val="single" w:sz="7" w:space="0" w:color="C9D7E8"/>
              <w:bottom w:val="single" w:sz="7" w:space="0" w:color="C9D7E8"/>
              <w:right w:val="single" w:sz="7" w:space="0" w:color="C9D7E8"/>
            </w:tcBorders>
            <w:tcMar>
              <w:top w:w="110" w:type="dxa"/>
              <w:start w:w="95" w:type="dxa"/>
              <w:bottom w:w="110" w:type="dxa"/>
              <w:end w:w="95" w:type="dxa"/>
            </w:tcMar>
            <w:vAlign w:val="center"/>
          </w:tcPr>
          <w:p>
            <w:pPr>
              <w:spacing w:before="0" w:after="20" w:line="247" w:lineRule="auto"/>
              <w:jc w:val="center"/>
            </w:pPr>
            <w:r>
              <w:rPr>
                <w:rFonts w:ascii="Aptos" w:hAnsi="Aptos"/>
                <w:b/>
                <w:i w:val="0"/>
                <w:color w:val="3B73D9"/>
                <w:sz w:val="31"/>
              </w:rPr>
              <w:t>r=-0.710</w:t>
            </w:r>
          </w:p>
          <w:p>
            <w:pPr>
              <w:spacing w:before="0" w:after="0" w:line="247" w:lineRule="auto"/>
              <w:jc w:val="center"/>
            </w:pPr>
            <w:r>
              <w:rPr>
                <w:rFonts w:ascii="Aptos" w:hAnsi="Aptos"/>
                <w:b/>
                <w:i w:val="0"/>
                <w:color w:val="17243A"/>
                <w:sz w:val="14"/>
              </w:rPr>
              <w:t>yenilenebilir–karbon ilişkisi</w:t>
            </w:r>
          </w:p>
        </w:tc>
      </w:tr>
    </w:tbl>
    <w:p>
      <w:pPr>
        <w:spacing w:before="60" w:after="80" w:line="247" w:lineRule="auto"/>
      </w:pPr>
      <w:r>
        <w:rPr>
          <w:rFonts w:ascii="Aptos" w:hAnsi="Aptos"/>
          <w:b/>
          <w:i w:val="0"/>
          <w:color w:val="17365D"/>
          <w:sz w:val="16"/>
        </w:rPr>
        <w:t xml:space="preserve">Tanım: </w:t>
      </w:r>
      <w:r>
        <w:rPr>
          <w:rFonts w:ascii="Aptos" w:hAnsi="Aptos"/>
          <w:b w:val="0"/>
          <w:i w:val="0"/>
          <w:color w:val="17243A"/>
          <w:sz w:val="16"/>
        </w:rPr>
        <w:t>‘Ucuz’ ve ‘düşük karbon’ ayrı ayrı kendi alt çeyreklerinde (Q1) bulunan saatlerdir; 164 saat iki koşulu aynı anda sağlamıştır. Korelasyon ilişkiyi gösterir, nedensellik kanıtlamaz.</w:t>
      </w:r>
    </w:p>
    <w:p>
      <w:pPr>
        <w:spacing w:before="100" w:after="60" w:line="247" w:lineRule="auto"/>
        <w:keepNext/>
      </w:pPr>
      <w:r>
        <w:rPr>
          <w:rFonts w:ascii="Aptos" w:hAnsi="Aptos"/>
          <w:b/>
          <w:i w:val="0"/>
          <w:color w:val="17365D"/>
          <w:sz w:val="22"/>
        </w:rPr>
        <w:t>Daha adil karşılaştırma: aynı günlerde öğle ve akşam</w:t>
      </w:r>
    </w:p>
    <w:tbl>
      <w:tblPr>
        <w:tblW w:type="auto" w:w="0"/>
        <w:jc w:val="center"/>
        <w:tblLayout w:type="autofit"/>
        <w:tblLook w:firstColumn="1" w:firstRow="1" w:lastColumn="0" w:lastRow="0" w:noHBand="0" w:noVBand="1" w:val="04A0"/>
      </w:tblPr>
      <w:tblGrid>
        <w:gridCol w:w="2580"/>
        <w:gridCol w:w="2580"/>
        <w:gridCol w:w="2580"/>
        <w:gridCol w:w="2580"/>
      </w:tblGrid>
      <w:tr>
        <w:tc>
          <w:tcPr>
            <w:tcW w:type="dxa" w:w="2580"/>
            <w:shd w:fill="17365D"/>
            <w:tcBorders>
              <w:top w:val="single" w:sz="8" w:space="0" w:color="FFFFFF"/>
              <w:left w:val="single" w:sz="8" w:space="0" w:color="FFFFFF"/>
              <w:bottom w:val="single" w:sz="8" w:space="0" w:color="FFFFFF"/>
              <w:right w:val="single" w:sz="8" w:space="0" w:color="FFFFFF"/>
            </w:tcBorders>
          </w:tcPr>
          <w:p>
            <w:pPr>
              <w:spacing w:before="0" w:after="0" w:line="247" w:lineRule="auto"/>
              <w:jc w:val="center"/>
            </w:pPr>
            <w:r>
              <w:rPr>
                <w:rFonts w:ascii="Aptos" w:hAnsi="Aptos"/>
                <w:b/>
                <w:i w:val="0"/>
                <w:color w:val="FFFFFF"/>
                <w:sz w:val="14"/>
              </w:rPr>
              <w:t>Ölçü</w:t>
            </w:r>
          </w:p>
        </w:tc>
        <w:tc>
          <w:tcPr>
            <w:tcW w:type="dxa" w:w="2580"/>
            <w:shd w:fill="17365D"/>
            <w:tcBorders>
              <w:top w:val="single" w:sz="8" w:space="0" w:color="FFFFFF"/>
              <w:left w:val="single" w:sz="8" w:space="0" w:color="FFFFFF"/>
              <w:bottom w:val="single" w:sz="8" w:space="0" w:color="FFFFFF"/>
              <w:right w:val="single" w:sz="8" w:space="0" w:color="FFFFFF"/>
            </w:tcBorders>
          </w:tcPr>
          <w:p>
            <w:pPr>
              <w:spacing w:before="0" w:after="0" w:line="247" w:lineRule="auto"/>
              <w:jc w:val="center"/>
            </w:pPr>
            <w:r>
              <w:rPr>
                <w:rFonts w:ascii="Aptos" w:hAnsi="Aptos"/>
                <w:b/>
                <w:i w:val="0"/>
                <w:color w:val="FFFFFF"/>
                <w:sz w:val="14"/>
              </w:rPr>
              <w:t>12:00–16:00</w:t>
            </w:r>
          </w:p>
        </w:tc>
        <w:tc>
          <w:tcPr>
            <w:tcW w:type="dxa" w:w="2580"/>
            <w:shd w:fill="17365D"/>
            <w:tcBorders>
              <w:top w:val="single" w:sz="8" w:space="0" w:color="FFFFFF"/>
              <w:left w:val="single" w:sz="8" w:space="0" w:color="FFFFFF"/>
              <w:bottom w:val="single" w:sz="8" w:space="0" w:color="FFFFFF"/>
              <w:right w:val="single" w:sz="8" w:space="0" w:color="FFFFFF"/>
            </w:tcBorders>
          </w:tcPr>
          <w:p>
            <w:pPr>
              <w:spacing w:before="0" w:after="0" w:line="247" w:lineRule="auto"/>
              <w:jc w:val="center"/>
            </w:pPr>
            <w:r>
              <w:rPr>
                <w:rFonts w:ascii="Aptos" w:hAnsi="Aptos"/>
                <w:b/>
                <w:i w:val="0"/>
                <w:color w:val="FFFFFF"/>
                <w:sz w:val="14"/>
              </w:rPr>
              <w:t>18:00–22:00</w:t>
            </w:r>
          </w:p>
        </w:tc>
        <w:tc>
          <w:tcPr>
            <w:tcW w:type="dxa" w:w="2580"/>
            <w:shd w:fill="17365D"/>
            <w:tcBorders>
              <w:top w:val="single" w:sz="8" w:space="0" w:color="FFFFFF"/>
              <w:left w:val="single" w:sz="8" w:space="0" w:color="FFFFFF"/>
              <w:bottom w:val="single" w:sz="8" w:space="0" w:color="FFFFFF"/>
              <w:right w:val="single" w:sz="8" w:space="0" w:color="FFFFFF"/>
            </w:tcBorders>
          </w:tcPr>
          <w:p>
            <w:pPr>
              <w:spacing w:before="0" w:after="0" w:line="247" w:lineRule="auto"/>
              <w:jc w:val="center"/>
            </w:pPr>
            <w:r>
              <w:rPr>
                <w:rFonts w:ascii="Aptos" w:hAnsi="Aptos"/>
                <w:b/>
                <w:i w:val="0"/>
                <w:color w:val="FFFFFF"/>
                <w:sz w:val="14"/>
              </w:rPr>
              <w:t>Gözlenen fark</w:t>
            </w:r>
          </w:p>
        </w:tc>
      </w:tr>
      <w:tr>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Ortalama fiyat</w:t>
            </w:r>
          </w:p>
        </w:tc>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€0.0327/kWh</w:t>
            </w:r>
          </w:p>
        </w:tc>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€0.1982/kWh</w:t>
            </w:r>
          </w:p>
        </w:tc>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%83.5 daha düşük</w:t>
            </w:r>
          </w:p>
        </w:tc>
      </w:tr>
      <w:tr>
        <w:tc>
          <w:tcPr>
            <w:tcW w:type="dxa" w:w="2580"/>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Karbon yoğunluğu</w:t>
            </w:r>
          </w:p>
        </w:tc>
        <w:tc>
          <w:tcPr>
            <w:tcW w:type="dxa" w:w="2580"/>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371.7 gCO₂e/kWh</w:t>
            </w:r>
          </w:p>
        </w:tc>
        <w:tc>
          <w:tcPr>
            <w:tcW w:type="dxa" w:w="2580"/>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417.2 gCO₂e/kWh</w:t>
            </w:r>
          </w:p>
        </w:tc>
        <w:tc>
          <w:tcPr>
            <w:tcW w:type="dxa" w:w="2580"/>
            <w:shd w:fill="FFFFFF"/>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%10.9 daha düşük</w:t>
            </w:r>
          </w:p>
        </w:tc>
      </w:tr>
      <w:tr>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Tarih tutarlılığı</w:t>
            </w:r>
          </w:p>
        </w:tc>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49/49 günde fiyat düşük</w:t>
            </w:r>
          </w:p>
        </w:tc>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val="0"/>
                <w:i w:val="0"/>
                <w:color w:val="17243A"/>
                <w:sz w:val="14"/>
              </w:rPr>
              <w:t>—</w:t>
            </w:r>
          </w:p>
        </w:tc>
        <w:tc>
          <w:tcPr>
            <w:tcW w:type="dxa" w:w="2580"/>
            <w:shd w:fill="EAF2FB"/>
            <w:tcBorders>
              <w:top w:val="single" w:sz="5" w:space="0" w:color="C9D7E8"/>
              <w:left w:val="single" w:sz="5" w:space="0" w:color="C9D7E8"/>
              <w:bottom w:val="single" w:sz="5" w:space="0" w:color="C9D7E8"/>
              <w:right w:val="single" w:sz="5" w:space="0" w:color="C9D7E8"/>
            </w:tcBorders>
            <w:tcMar>
              <w:top w:w="70" w:type="dxa"/>
              <w:start w:w="100" w:type="dxa"/>
              <w:bottom w:w="70" w:type="dxa"/>
              <w:end w:w="100" w:type="dxa"/>
            </w:tcMar>
          </w:tcPr>
          <w:p>
            <w:pPr>
              <w:spacing w:before="0" w:after="0" w:line="247" w:lineRule="auto"/>
              <w:jc w:val="left"/>
            </w:pPr>
            <w:r>
              <w:rPr>
                <w:rFonts w:ascii="Aptos" w:hAnsi="Aptos"/>
                <w:b/>
                <w:i w:val="0"/>
                <w:color w:val="17243A"/>
                <w:sz w:val="14"/>
              </w:rPr>
              <w:t>31/49 günde karbon düşük</w:t>
            </w:r>
          </w:p>
        </w:tc>
      </w:tr>
    </w:tbl>
    <w:p>
      <w:pPr>
        <w:spacing w:before="40" w:after="80" w:line="247" w:lineRule="auto"/>
      </w:pPr>
      <w:r>
        <w:rPr>
          <w:rFonts w:ascii="Aptos" w:hAnsi="Aptos"/>
          <w:b w:val="0"/>
          <w:i w:val="0"/>
          <w:color w:val="52647A"/>
          <w:sz w:val="15"/>
        </w:rPr>
        <w:t>49 eksiksiz eşleşmiş gün kullanıldı. Eşleşmiş ortalama farkı için %95 t güven aralığı: fiyat €0.1489–€0.1820/kWh; karbon 15.98–75.13 gCO₂e/kWh.</w:t>
      </w:r>
    </w:p>
    <w:p>
      <w:pPr>
        <w:spacing w:before="100" w:after="60" w:line="247" w:lineRule="auto"/>
        <w:keepNext/>
      </w:pPr>
      <w:r>
        <w:rPr>
          <w:rFonts w:ascii="Aptos" w:hAnsi="Aptos"/>
          <w:b/>
          <w:i w:val="0"/>
          <w:color w:val="17365D"/>
          <w:sz w:val="22"/>
        </w:rPr>
        <w:t>Next-hour price modeli</w:t>
      </w:r>
    </w:p>
    <w:tbl>
      <w:tblPr>
        <w:tblW w:type="auto" w:w="0"/>
        <w:jc w:val="center"/>
        <w:tblLayout w:type="fixed"/>
        <w:tblLook w:firstColumn="1" w:firstRow="1" w:lastColumn="0" w:lastRow="0" w:noHBand="0" w:noVBand="1" w:val="04A0"/>
      </w:tblPr>
      <w:tblGrid>
        <w:gridCol w:w="2880"/>
        <w:gridCol w:w="7200"/>
      </w:tblGrid>
      <w:tr>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center"/>
            </w:pPr>
            <w:r>
              <w:rPr>
                <w:rFonts w:ascii="Aptos" w:hAnsi="Aptos"/>
                <w:b/>
                <w:i w:val="0"/>
                <w:color w:val="B9F65A"/>
                <w:sz w:val="30"/>
              </w:rPr>
              <w:t>R² 0.943</w:t>
            </w:r>
          </w:p>
          <w:p>
            <w:pPr>
              <w:jc w:val="center"/>
            </w:pPr>
            <w:r>
              <w:rPr>
                <w:rFonts w:ascii="Aptos" w:hAnsi="Aptos"/>
                <w:b/>
                <w:i w:val="0"/>
                <w:color w:val="FFFFFF"/>
                <w:sz w:val="16"/>
              </w:rPr>
              <w:t>RMSE €0.0189/kWh</w:t>
            </w:r>
          </w:p>
          <w:p>
            <w:pPr>
              <w:jc w:val="center"/>
            </w:pPr>
            <w:r>
              <w:rPr>
                <w:rFonts w:ascii="Aptos" w:hAnsi="Aptos"/>
                <w:b w:val="0"/>
                <w:i w:val="0"/>
                <w:color w:val="FFFFFF"/>
                <w:sz w:val="15"/>
              </w:rPr>
              <w:t>210 unseen hours</w:t>
            </w:r>
          </w:p>
        </w:tc>
        <w:tc>
          <w:tcPr>
            <w:tcW w:type="dxa" w:w="5161"/>
            <w:shd w:fill="EEF8ED"/>
            <w:tcBorders>
              <w:top w:val="single" w:sz="6" w:space="0" w:color="C9D7E8"/>
              <w:left w:val="single" w:sz="6" w:space="0" w:color="C9D7E8"/>
              <w:bottom w:val="single" w:sz="6" w:space="0" w:color="C9D7E8"/>
              <w:right w:val="single" w:sz="6" w:space="0" w:color="C9D7E8"/>
            </w:tcBorders>
            <w:tcMar>
              <w:top w:w="95" w:type="dxa"/>
              <w:start w:w="125" w:type="dxa"/>
              <w:bottom w:w="95" w:type="dxa"/>
              <w:end w:w="125" w:type="dxa"/>
            </w:tcMar>
          </w:tcPr>
          <w:p>
            <w:r>
              <w:rPr>
                <w:rFonts w:ascii="Aptos" w:hAnsi="Aptos"/>
                <w:b/>
                <w:i w:val="0"/>
                <w:color w:val="17365D"/>
                <w:sz w:val="17"/>
              </w:rPr>
              <w:t>Değerlendirme tasarımı</w:t>
            </w:r>
          </w:p>
          <w:p>
            <w:pPr>
              <w:pStyle w:val="ListBullet"/>
              <w:spacing w:before="0" w:after="30" w:line="247" w:lineRule="auto"/>
            </w:pPr>
            <w:r>
              <w:rPr>
                <w:rFonts w:ascii="Aptos" w:hAnsi="Aptos"/>
                <w:b w:val="0"/>
                <w:i w:val="0"/>
                <w:color w:val="17243A"/>
                <w:sz w:val="14"/>
              </w:rPr>
              <w:t>Kronolojik hold-out: model geçmiş saatlerde eğitildi, daha sonraki 210 saatte test edildi.</w:t>
            </w:r>
          </w:p>
          <w:p>
            <w:pPr>
              <w:pStyle w:val="ListBullet"/>
              <w:spacing w:before="0" w:after="30" w:line="247" w:lineRule="auto"/>
            </w:pPr>
            <w:r>
              <w:rPr>
                <w:rFonts w:ascii="Aptos" w:hAnsi="Aptos"/>
                <w:b w:val="0"/>
                <w:i w:val="0"/>
                <w:color w:val="17243A"/>
                <w:sz w:val="14"/>
              </w:rPr>
              <w:t>Rastgele split yapılmadı; zaman sızıntısı (leakage) azaltıldı.</w:t>
            </w:r>
          </w:p>
          <w:p>
            <w:pPr>
              <w:pStyle w:val="ListBullet"/>
              <w:spacing w:before="0" w:after="30" w:line="247" w:lineRule="auto"/>
            </w:pPr>
            <w:r>
              <w:rPr>
                <w:rFonts w:ascii="Aptos" w:hAnsi="Aptos"/>
                <w:b w:val="0"/>
                <w:i w:val="0"/>
                <w:color w:val="17243A"/>
                <w:sz w:val="14"/>
              </w:rPr>
              <w:t>R² açıklanan varyanstır; ‘%94.3 doğru tahmin’ anlamına gelmez.</w:t>
            </w:r>
          </w:p>
          <w:p>
            <w:pPr>
              <w:pStyle w:val="ListBullet"/>
              <w:spacing w:before="0" w:after="30" w:line="247" w:lineRule="auto"/>
            </w:pPr>
            <w:r>
              <w:rPr>
                <w:rFonts w:ascii="Aptos" w:hAnsi="Aptos"/>
                <w:b w:val="0"/>
                <w:i w:val="0"/>
                <w:color w:val="17243A"/>
                <w:sz w:val="14"/>
              </w:rPr>
              <w:t>Model proje kapsamında doğrulandı, fakat mevcut Streamlit uygulaması tahmin değil tarihsel veri kullanır.</w:t>
            </w:r>
          </w:p>
        </w:tc>
      </w:tr>
    </w:tbl>
    <w:tbl>
      <w:tblPr>
        <w:tblW w:type="auto" w:w="0"/>
        <w:jc w:val="center"/>
        <w:tblLayout w:type="fixed"/>
        <w:tblLook w:firstColumn="1" w:firstRow="1" w:lastColumn="0" w:lastRow="0" w:noHBand="0" w:noVBand="1" w:val="04A0"/>
      </w:tblPr>
      <w:tblGrid>
        <w:gridCol w:w="173"/>
        <w:gridCol w:w="9907"/>
      </w:tblGrid>
      <w:tr>
        <w:tc>
          <w:tcPr>
            <w:tcW w:type="dxa" w:w="5161"/>
            <w:shd w:fill="A63A45"/>
            <w:tcBorders>
              <w:top w:val="single" w:sz="0" w:space="0" w:color="A63A45"/>
              <w:left w:val="single" w:sz="0" w:space="0" w:color="A63A45"/>
              <w:bottom w:val="single" w:sz="0" w:space="0" w:color="A63A45"/>
              <w:right w:val="single" w:sz="0" w:space="0" w:color="A63A45"/>
            </w:tcBorders>
          </w:tcPr>
          <w:p/>
        </w:tc>
        <w:tc>
          <w:tcPr>
            <w:tcW w:type="dxa" w:w="5161"/>
            <w:shd w:fill="FFF4D6"/>
            <w:tcBorders>
              <w:top w:val="single" w:sz="0" w:space="0" w:color="FFF4D6"/>
              <w:left w:val="single" w:sz="0" w:space="0" w:color="FFF4D6"/>
              <w:bottom w:val="single" w:sz="0" w:space="0" w:color="FFF4D6"/>
              <w:right w:val="single" w:sz="0" w:space="0" w:color="FFF4D6"/>
            </w:tcBorders>
            <w:tcMar>
              <w:top w:w="100" w:type="dxa"/>
              <w:start w:w="125" w:type="dxa"/>
              <w:bottom w:w="100" w:type="dxa"/>
              <w:end w:w="125" w:type="dxa"/>
            </w:tcMar>
          </w:tcPr>
          <w:p>
            <w:pPr>
              <w:spacing w:before="0" w:after="20" w:line="247" w:lineRule="auto"/>
            </w:pPr>
            <w:r>
              <w:rPr>
                <w:rFonts w:ascii="Aptos" w:hAnsi="Aptos"/>
                <w:b/>
                <w:i w:val="0"/>
                <w:color w:val="17365D"/>
                <w:sz w:val="18"/>
              </w:rPr>
              <w:t>Bilimsel ifade</w:t>
            </w:r>
          </w:p>
          <w:p>
            <w:pPr>
              <w:spacing w:before="0" w:after="0" w:line="247" w:lineRule="auto"/>
            </w:pPr>
            <w:r>
              <w:rPr>
                <w:rFonts w:ascii="Aptos" w:hAnsi="Aptos"/>
                <w:b w:val="0"/>
                <w:i w:val="0"/>
                <w:color w:val="17243A"/>
                <w:sz w:val="16"/>
              </w:rPr>
              <w:t>‘Hipotez bu tarihsel örneklemde desteklendi’ demek uygundur. ‘Öğle her zaman en temizdir’ veya ‘uygulama geleceği tahmin ediyor’ demek uygun değildir.</w:t>
            </w:r>
          </w:p>
        </w:tc>
      </w:tr>
    </w:tbl>
    <w:p>
      <w:r>
        <w:br w:type="page"/>
      </w:r>
    </w:p>
    <w:tbl>
      <w:tblPr>
        <w:tblW w:type="auto" w:w="0"/>
        <w:jc w:val="center"/>
        <w:tblLayout w:type="fixed"/>
        <w:tblLook w:firstColumn="1" w:firstRow="1" w:lastColumn="0" w:lastRow="0" w:noHBand="0" w:noVBand="1" w:val="04A0"/>
      </w:tblPr>
      <w:tblGrid>
        <w:gridCol w:w="8136"/>
        <w:gridCol w:w="1944"/>
      </w:tblGrid>
      <w:tr>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left"/>
            </w:pPr>
            <w:r>
              <w:rPr>
                <w:rFonts w:ascii="Aptos" w:hAnsi="Aptos"/>
                <w:b/>
                <w:i w:val="0"/>
                <w:color w:val="FFFFFF"/>
                <w:sz w:val="32"/>
              </w:rPr>
              <w:t>Ürün, sınırlamalar ve mülakat anlatımı</w:t>
            </w:r>
          </w:p>
        </w:tc>
        <w:tc>
          <w:tcPr>
            <w:tcW w:type="dxa" w:w="5161"/>
            <w:shd w:fill="17365D"/>
            <w:tcBorders>
              <w:top w:val="single" w:sz="0" w:space="0" w:color="17365D"/>
              <w:left w:val="single" w:sz="0" w:space="0" w:color="17365D"/>
              <w:bottom w:val="single" w:sz="0" w:space="0" w:color="17365D"/>
              <w:right w:val="single" w:sz="0" w:space="0" w:color="17365D"/>
            </w:tcBorders>
            <w:tcMar>
              <w:top w:w="95" w:type="dxa"/>
              <w:start w:w="100" w:type="dxa"/>
              <w:bottom w:w="95" w:type="dxa"/>
              <w:end w:w="100" w:type="dxa"/>
            </w:tcMar>
          </w:tcPr>
          <w:p>
            <w:pPr>
              <w:jc w:val="right"/>
            </w:pPr>
            <w:r>
              <w:rPr>
                <w:rFonts w:ascii="Aptos" w:hAnsi="Aptos"/>
                <w:b/>
                <w:i w:val="0"/>
                <w:color w:val="B9F65A"/>
                <w:sz w:val="16"/>
              </w:rPr>
              <w:t>04</w:t>
            </w:r>
          </w:p>
        </w:tc>
      </w:tr>
    </w:tbl>
    <w:p>
      <w:pPr>
        <w:spacing w:before="60" w:after="140" w:line="247" w:lineRule="auto"/>
      </w:pPr>
      <w:r>
        <w:rPr>
          <w:rFonts w:ascii="Aptos" w:hAnsi="Aptos"/>
          <w:b w:val="0"/>
          <w:i w:val="0"/>
          <w:color w:val="52647A"/>
          <w:sz w:val="17"/>
        </w:rPr>
        <w:t>Teknik çalışmanın kullanıcıya dönük çıktısı; neyi çözdüğü ve neyi henüz çözmediği.</w:t>
      </w:r>
    </w:p>
    <w:p>
      <w:pPr>
        <w:spacing w:before="100" w:after="60" w:line="247" w:lineRule="auto"/>
        <w:keepNext/>
      </w:pPr>
      <w:r>
        <w:rPr>
          <w:rFonts w:ascii="Aptos" w:hAnsi="Aptos"/>
          <w:b/>
          <w:i w:val="0"/>
          <w:color w:val="17365D"/>
          <w:sz w:val="22"/>
        </w:rPr>
        <w:t>Ürün katmanı</w:t>
      </w:r>
    </w:p>
    <w:tbl>
      <w:tblPr>
        <w:tblW w:type="auto" w:w="0"/>
        <w:jc w:val="center"/>
        <w:tblLayout w:type="autofit"/>
        <w:tblLook w:firstColumn="1" w:firstRow="1" w:lastColumn="0" w:lastRow="0" w:noHBand="0" w:noVBand="1" w:val="04A0"/>
      </w:tblPr>
      <w:tblGrid>
        <w:gridCol w:w="2580"/>
        <w:gridCol w:w="2580"/>
        <w:gridCol w:w="2580"/>
        <w:gridCol w:w="2580"/>
      </w:tblGrid>
      <w:tr>
        <w:tc>
          <w:tcPr>
            <w:tcW w:type="dxa" w:w="2580"/>
            <w:shd w:fill="EAF2FB"/>
            <w:tcBorders>
              <w:top w:val="single" w:sz="6" w:space="0" w:color="C9D7E8"/>
              <w:left w:val="single" w:sz="6" w:space="0" w:color="C9D7E8"/>
              <w:bottom w:val="single" w:sz="6" w:space="0" w:color="C9D7E8"/>
              <w:right w:val="single" w:sz="6" w:space="0" w:color="C9D7E8"/>
            </w:tcBorders>
            <w:tcMar>
              <w:top w:w="90" w:type="dxa"/>
              <w:start w:w="100" w:type="dxa"/>
              <w:bottom w:w="90" w:type="dxa"/>
              <w:end w:w="100" w:type="dxa"/>
            </w:tcMar>
          </w:tcPr>
          <w:p>
            <w:pPr>
              <w:jc w:val="center"/>
            </w:pPr>
            <w:r>
              <w:rPr>
                <w:rFonts w:ascii="Aptos" w:hAnsi="Aptos"/>
                <w:b/>
                <w:i w:val="0"/>
                <w:color w:val="17365D"/>
                <w:sz w:val="15"/>
              </w:rPr>
              <w:t>Historical view</w:t>
            </w:r>
          </w:p>
          <w:p>
            <w:pPr>
              <w:spacing w:before="0" w:after="0" w:line="247" w:lineRule="auto"/>
            </w:pPr>
            <w:r>
              <w:rPr>
                <w:rFonts w:ascii="Aptos" w:hAnsi="Aptos"/>
                <w:b w:val="0"/>
                <w:i w:val="0"/>
                <w:color w:val="17243A"/>
                <w:sz w:val="13"/>
              </w:rPr>
              <w:t>Seçilen geçmiş saat ‘iyi zaman mıydı?’ sorusunu fiyat, karbon ve yenilenebilir payla açıklar.</w:t>
            </w:r>
          </w:p>
        </w:tc>
        <w:tc>
          <w:tcPr>
            <w:tcW w:type="dxa" w:w="2580"/>
            <w:shd w:fill="EEF8ED"/>
            <w:tcBorders>
              <w:top w:val="single" w:sz="6" w:space="0" w:color="C9D7E8"/>
              <w:left w:val="single" w:sz="6" w:space="0" w:color="C9D7E8"/>
              <w:bottom w:val="single" w:sz="6" w:space="0" w:color="C9D7E8"/>
              <w:right w:val="single" w:sz="6" w:space="0" w:color="C9D7E8"/>
            </w:tcBorders>
            <w:tcMar>
              <w:top w:w="90" w:type="dxa"/>
              <w:start w:w="100" w:type="dxa"/>
              <w:bottom w:w="90" w:type="dxa"/>
              <w:end w:w="100" w:type="dxa"/>
            </w:tcMar>
          </w:tcPr>
          <w:p>
            <w:pPr>
              <w:jc w:val="center"/>
            </w:pPr>
            <w:r>
              <w:rPr>
                <w:rFonts w:ascii="Aptos" w:hAnsi="Aptos"/>
                <w:b/>
                <w:i w:val="0"/>
                <w:color w:val="17365D"/>
                <w:sz w:val="15"/>
              </w:rPr>
              <w:t>Device planner</w:t>
            </w:r>
          </w:p>
          <w:p>
            <w:pPr>
              <w:spacing w:before="0" w:after="0" w:line="247" w:lineRule="auto"/>
            </w:pPr>
            <w:r>
              <w:rPr>
                <w:rFonts w:ascii="Aptos" w:hAnsi="Aptos"/>
                <w:b w:val="0"/>
                <w:i w:val="0"/>
                <w:color w:val="17243A"/>
                <w:sz w:val="13"/>
              </w:rPr>
              <w:t>Gerçek bir cihazın süre ve tüketimine göre tarihsel maliyet ve CO₂e karşılaştırması yapar.</w:t>
            </w:r>
          </w:p>
        </w:tc>
        <w:tc>
          <w:tcPr>
            <w:tcW w:type="dxa" w:w="2580"/>
            <w:shd w:fill="EAF2FB"/>
            <w:tcBorders>
              <w:top w:val="single" w:sz="6" w:space="0" w:color="C9D7E8"/>
              <w:left w:val="single" w:sz="6" w:space="0" w:color="C9D7E8"/>
              <w:bottom w:val="single" w:sz="6" w:space="0" w:color="C9D7E8"/>
              <w:right w:val="single" w:sz="6" w:space="0" w:color="C9D7E8"/>
            </w:tcBorders>
            <w:tcMar>
              <w:top w:w="90" w:type="dxa"/>
              <w:start w:w="100" w:type="dxa"/>
              <w:bottom w:w="90" w:type="dxa"/>
              <w:end w:w="100" w:type="dxa"/>
            </w:tcMar>
          </w:tcPr>
          <w:p>
            <w:pPr>
              <w:jc w:val="center"/>
            </w:pPr>
            <w:r>
              <w:rPr>
                <w:rFonts w:ascii="Aptos" w:hAnsi="Aptos"/>
                <w:b/>
                <w:i w:val="0"/>
                <w:color w:val="17365D"/>
                <w:sz w:val="15"/>
              </w:rPr>
              <w:t>Patterns &amp; method</w:t>
            </w:r>
          </w:p>
          <w:p>
            <w:pPr>
              <w:spacing w:before="0" w:after="0" w:line="247" w:lineRule="auto"/>
            </w:pPr>
            <w:r>
              <w:rPr>
                <w:rFonts w:ascii="Aptos" w:hAnsi="Aptos"/>
                <w:b w:val="0"/>
                <w:i w:val="0"/>
                <w:color w:val="17243A"/>
                <w:sz w:val="13"/>
              </w:rPr>
              <w:t>Hafta günü/saat örüntülerini ve yöntemin sınırlamalarını görünür kılar.</w:t>
            </w:r>
          </w:p>
        </w:tc>
        <w:tc>
          <w:tcPr>
            <w:tcW w:type="dxa" w:w="2580"/>
            <w:shd w:fill="EEF8ED"/>
            <w:tcBorders>
              <w:top w:val="single" w:sz="6" w:space="0" w:color="C9D7E8"/>
              <w:left w:val="single" w:sz="6" w:space="0" w:color="C9D7E8"/>
              <w:bottom w:val="single" w:sz="6" w:space="0" w:color="C9D7E8"/>
              <w:right w:val="single" w:sz="6" w:space="0" w:color="C9D7E8"/>
            </w:tcBorders>
            <w:tcMar>
              <w:top w:w="90" w:type="dxa"/>
              <w:start w:w="100" w:type="dxa"/>
              <w:bottom w:w="90" w:type="dxa"/>
              <w:end w:w="100" w:type="dxa"/>
            </w:tcMar>
          </w:tcPr>
          <w:p>
            <w:pPr>
              <w:jc w:val="center"/>
            </w:pPr>
            <w:r>
              <w:rPr>
                <w:rFonts w:ascii="Aptos" w:hAnsi="Aptos"/>
                <w:b/>
                <w:i w:val="0"/>
                <w:color w:val="17365D"/>
                <w:sz w:val="15"/>
              </w:rPr>
              <w:t>Tableau</w:t>
            </w:r>
          </w:p>
          <w:p>
            <w:pPr>
              <w:spacing w:before="0" w:after="0" w:line="247" w:lineRule="auto"/>
            </w:pPr>
            <w:r>
              <w:rPr>
                <w:rFonts w:ascii="Aptos" w:hAnsi="Aptos"/>
                <w:b w:val="0"/>
                <w:i w:val="0"/>
                <w:color w:val="17243A"/>
                <w:sz w:val="13"/>
              </w:rPr>
              <w:t>KPI, saatlik desen, fiyat–karbon ilişkisi ve önerilen pencereyi sunum için özetler.</w:t>
            </w:r>
          </w:p>
        </w:tc>
      </w:tr>
    </w:tbl>
    <w:p>
      <w:pPr>
        <w:spacing w:before="100" w:after="60" w:line="247" w:lineRule="auto"/>
        <w:keepNext/>
      </w:pPr>
      <w:r>
        <w:rPr>
          <w:rFonts w:ascii="Aptos" w:hAnsi="Aptos"/>
          <w:b/>
          <w:i w:val="0"/>
          <w:color w:val="17365D"/>
          <w:sz w:val="22"/>
        </w:rPr>
        <w:t>Sınırlamalar ve dürüst teknik yorum</w:t>
      </w:r>
    </w:p>
    <w:p>
      <w:pPr>
        <w:pStyle w:val="ListBullet"/>
        <w:spacing w:before="0" w:after="44" w:line="247" w:lineRule="auto"/>
      </w:pPr>
      <w:r>
        <w:rPr>
          <w:rFonts w:ascii="Aptos" w:hAnsi="Aptos"/>
          <w:b w:val="0"/>
          <w:i w:val="0"/>
          <w:color w:val="17243A"/>
          <w:sz w:val="15"/>
        </w:rPr>
        <w:t>Örneklem geç ilkbahar/yaz dönemidir; kış davranışını ve yıllık mevsimselliği temsil etmez.</w:t>
      </w:r>
    </w:p>
    <w:p>
      <w:pPr>
        <w:pStyle w:val="ListBullet"/>
        <w:spacing w:before="0" w:after="44" w:line="247" w:lineRule="auto"/>
      </w:pPr>
      <w:r>
        <w:rPr>
          <w:rFonts w:ascii="Aptos" w:hAnsi="Aptos"/>
          <w:b w:val="0"/>
          <w:i w:val="0"/>
          <w:color w:val="17243A"/>
          <w:sz w:val="15"/>
        </w:rPr>
        <w:t>Wattnet değeri ortalama yaşam döngüsü karbon yoğunluğudur; marjinal ‘kaçınılan emisyon’ değildir.</w:t>
      </w:r>
    </w:p>
    <w:p>
      <w:pPr>
        <w:pStyle w:val="ListBullet"/>
        <w:spacing w:before="0" w:after="44" w:line="247" w:lineRule="auto"/>
      </w:pPr>
      <w:r>
        <w:rPr>
          <w:rFonts w:ascii="Aptos" w:hAnsi="Aptos"/>
          <w:b w:val="0"/>
          <w:i w:val="0"/>
          <w:color w:val="17243A"/>
          <w:sz w:val="15"/>
        </w:rPr>
        <w:t>Fiyat, saatlik enerji fiyatıdır; ağ/sabit ücretler, sözleşme etkileri ve cihaz verimliliği toplam faturayı değiştirir.</w:t>
      </w:r>
    </w:p>
    <w:p>
      <w:pPr>
        <w:pStyle w:val="ListBullet"/>
        <w:spacing w:before="0" w:after="44" w:line="247" w:lineRule="auto"/>
      </w:pPr>
      <w:r>
        <w:rPr>
          <w:rFonts w:ascii="Aptos" w:hAnsi="Aptos"/>
          <w:b w:val="0"/>
          <w:i w:val="0"/>
          <w:color w:val="17243A"/>
          <w:sz w:val="15"/>
        </w:rPr>
        <w:t>Inner join kaliteyi artırır ancak kapsamı küçültür; eksik saatler sonuçların temsil gücünü etkileyebilir.</w:t>
      </w:r>
    </w:p>
    <w:p>
      <w:pPr>
        <w:pStyle w:val="ListBullet"/>
        <w:spacing w:before="0" w:after="44" w:line="247" w:lineRule="auto"/>
      </w:pPr>
      <w:r>
        <w:rPr>
          <w:rFonts w:ascii="Aptos" w:hAnsi="Aptos"/>
          <w:b w:val="0"/>
          <w:i w:val="0"/>
          <w:color w:val="17243A"/>
          <w:sz w:val="15"/>
        </w:rPr>
        <w:t>164 saat ve 12:00–16:00 sonucu veri setine bağlı tarihsel sınıflandırmadır; canlı tavsiye veya forecast değildir.</w:t>
      </w:r>
    </w:p>
    <w:p>
      <w:pPr>
        <w:spacing w:before="100" w:after="60" w:line="247" w:lineRule="auto"/>
        <w:keepNext/>
      </w:pPr>
      <w:r>
        <w:rPr>
          <w:rFonts w:ascii="Aptos" w:hAnsi="Aptos"/>
          <w:b/>
          <w:i w:val="0"/>
          <w:color w:val="17365D"/>
          <w:sz w:val="22"/>
        </w:rPr>
        <w:t>Bir sonraki teknik adımlar</w:t>
      </w:r>
    </w:p>
    <w:tbl>
      <w:tblPr>
        <w:tblW w:type="auto" w:w="0"/>
        <w:jc w:val="center"/>
        <w:tblLayout w:type="autofit"/>
        <w:tblLook w:firstColumn="1" w:firstRow="1" w:lastColumn="0" w:lastRow="0" w:noHBand="0" w:noVBand="1" w:val="04A0"/>
      </w:tblPr>
      <w:tblGrid>
        <w:gridCol w:w="3441"/>
        <w:gridCol w:w="3441"/>
        <w:gridCol w:w="3441"/>
      </w:tblGrid>
      <w:tr>
        <w:tc>
          <w:tcPr>
            <w:tcW w:type="dxa" w:w="3441"/>
            <w:shd w:fill="3B73D9"/>
            <w:tcBorders>
              <w:top w:val="single" w:sz="8" w:space="0" w:color="FFFFFF"/>
              <w:left w:val="single" w:sz="8" w:space="0" w:color="FFFFFF"/>
              <w:bottom w:val="single" w:sz="8" w:space="0" w:color="FFFFFF"/>
              <w:right w:val="single" w:sz="8" w:space="0" w:color="FFFFFF"/>
            </w:tcBorders>
            <w:tcMar>
              <w:top w:w="90" w:type="dxa"/>
              <w:start w:w="100" w:type="dxa"/>
              <w:bottom w:w="90" w:type="dxa"/>
              <w:end w:w="100" w:type="dxa"/>
            </w:tcMar>
          </w:tcPr>
          <w:p>
            <w:pPr>
              <w:jc w:val="center"/>
            </w:pPr>
            <w:r>
              <w:rPr>
                <w:rFonts w:ascii="Aptos" w:hAnsi="Aptos"/>
                <w:b/>
                <w:i w:val="0"/>
                <w:color w:val="B9F65A"/>
                <w:sz w:val="16"/>
              </w:rPr>
              <w:t>Canlılaştır</w:t>
            </w:r>
          </w:p>
          <w:p>
            <w:r>
              <w:rPr>
                <w:rFonts w:ascii="Aptos" w:hAnsi="Aptos"/>
                <w:b w:val="0"/>
                <w:i w:val="0"/>
                <w:color w:val="FFFFFF"/>
                <w:sz w:val="13"/>
              </w:rPr>
              <w:t>Day-ahead fiyat + güncel karbon endpoint’i; cache, retry, rate-limit ve gözlemlenebilirlik ekle.</w:t>
            </w:r>
          </w:p>
        </w:tc>
        <w:tc>
          <w:tcPr>
            <w:tcW w:type="dxa" w:w="3441"/>
            <w:shd w:fill="17365D"/>
            <w:tcBorders>
              <w:top w:val="single" w:sz="8" w:space="0" w:color="FFFFFF"/>
              <w:left w:val="single" w:sz="8" w:space="0" w:color="FFFFFF"/>
              <w:bottom w:val="single" w:sz="8" w:space="0" w:color="FFFFFF"/>
              <w:right w:val="single" w:sz="8" w:space="0" w:color="FFFFFF"/>
            </w:tcBorders>
            <w:tcMar>
              <w:top w:w="90" w:type="dxa"/>
              <w:start w:w="100" w:type="dxa"/>
              <w:bottom w:w="90" w:type="dxa"/>
              <w:end w:w="100" w:type="dxa"/>
            </w:tcMar>
          </w:tcPr>
          <w:p>
            <w:pPr>
              <w:jc w:val="center"/>
            </w:pPr>
            <w:r>
              <w:rPr>
                <w:rFonts w:ascii="Aptos" w:hAnsi="Aptos"/>
                <w:b/>
                <w:i w:val="0"/>
                <w:color w:val="B9F65A"/>
                <w:sz w:val="16"/>
              </w:rPr>
              <w:t>Üretimleştir</w:t>
            </w:r>
          </w:p>
          <w:p>
            <w:r>
              <w:rPr>
                <w:rFonts w:ascii="Aptos" w:hAnsi="Aptos"/>
                <w:b w:val="0"/>
                <w:i w:val="0"/>
                <w:color w:val="FFFFFF"/>
                <w:sz w:val="13"/>
              </w:rPr>
              <w:t>ETL orchestration, veri sözleşmeleri, unit/integration test, CI ve model registry kur.</w:t>
            </w:r>
          </w:p>
        </w:tc>
        <w:tc>
          <w:tcPr>
            <w:tcW w:type="dxa" w:w="3441"/>
            <w:shd w:fill="3B73D9"/>
            <w:tcBorders>
              <w:top w:val="single" w:sz="8" w:space="0" w:color="FFFFFF"/>
              <w:left w:val="single" w:sz="8" w:space="0" w:color="FFFFFF"/>
              <w:bottom w:val="single" w:sz="8" w:space="0" w:color="FFFFFF"/>
              <w:right w:val="single" w:sz="8" w:space="0" w:color="FFFFFF"/>
            </w:tcBorders>
            <w:tcMar>
              <w:top w:w="90" w:type="dxa"/>
              <w:start w:w="100" w:type="dxa"/>
              <w:bottom w:w="90" w:type="dxa"/>
              <w:end w:w="100" w:type="dxa"/>
            </w:tcMar>
          </w:tcPr>
          <w:p>
            <w:pPr>
              <w:jc w:val="center"/>
            </w:pPr>
            <w:r>
              <w:rPr>
                <w:rFonts w:ascii="Aptos" w:hAnsi="Aptos"/>
                <w:b/>
                <w:i w:val="0"/>
                <w:color w:val="B9F65A"/>
                <w:sz w:val="16"/>
              </w:rPr>
              <w:t>Genişlet</w:t>
            </w:r>
          </w:p>
          <w:p>
            <w:r>
              <w:rPr>
                <w:rFonts w:ascii="Aptos" w:hAnsi="Aptos"/>
                <w:b w:val="0"/>
                <w:i w:val="0"/>
                <w:color w:val="FFFFFF"/>
                <w:sz w:val="13"/>
              </w:rPr>
              <w:t>Daha uzun/mevsimsel veri, farklı bölgeler, belirsizlik aralıkları ve kullanıcıya özel tarifeler ekle.</w:t>
            </w:r>
          </w:p>
        </w:tc>
      </w:tr>
    </w:tbl>
    <w:p>
      <w:pPr>
        <w:spacing w:before="100" w:after="60" w:line="247" w:lineRule="auto"/>
        <w:keepNext/>
      </w:pPr>
      <w:r>
        <w:rPr>
          <w:rFonts w:ascii="Aptos" w:hAnsi="Aptos"/>
          <w:b/>
          <w:i w:val="0"/>
          <w:color w:val="17365D"/>
          <w:sz w:val="22"/>
        </w:rPr>
        <w:t>Mülakatta 90 saniyelik anlatım</w:t>
      </w:r>
    </w:p>
    <w:tbl>
      <w:tblPr>
        <w:tblW w:type="auto" w:w="0"/>
        <w:jc w:val="center"/>
        <w:tblLayout w:type="fixed"/>
        <w:tblLook w:firstColumn="1" w:firstRow="1" w:lastColumn="0" w:lastRow="0" w:noHBand="0" w:noVBand="1" w:val="04A0"/>
      </w:tblPr>
      <w:tblGrid>
        <w:gridCol w:w="173"/>
        <w:gridCol w:w="9907"/>
      </w:tblGrid>
      <w:tr>
        <w:tc>
          <w:tcPr>
            <w:tcW w:type="dxa" w:w="5161"/>
            <w:shd w:fill="3B73D9"/>
            <w:tcBorders>
              <w:top w:val="single" w:sz="0" w:space="0" w:color="3B73D9"/>
              <w:left w:val="single" w:sz="0" w:space="0" w:color="3B73D9"/>
              <w:bottom w:val="single" w:sz="0" w:space="0" w:color="3B73D9"/>
              <w:right w:val="single" w:sz="0" w:space="0" w:color="3B73D9"/>
            </w:tcBorders>
          </w:tcPr>
          <w:p/>
        </w:tc>
        <w:tc>
          <w:tcPr>
            <w:tcW w:type="dxa" w:w="5161"/>
            <w:shd w:fill="EAF2FB"/>
            <w:tcBorders>
              <w:top w:val="single" w:sz="0" w:space="0" w:color="EAF2FB"/>
              <w:left w:val="single" w:sz="0" w:space="0" w:color="EAF2FB"/>
              <w:bottom w:val="single" w:sz="0" w:space="0" w:color="EAF2FB"/>
              <w:right w:val="single" w:sz="0" w:space="0" w:color="EAF2FB"/>
            </w:tcBorders>
            <w:tcMar>
              <w:top w:w="100" w:type="dxa"/>
              <w:start w:w="125" w:type="dxa"/>
              <w:bottom w:w="100" w:type="dxa"/>
              <w:end w:w="125" w:type="dxa"/>
            </w:tcMar>
          </w:tcPr>
          <w:p>
            <w:pPr>
              <w:spacing w:before="0" w:after="20" w:line="247" w:lineRule="auto"/>
            </w:pPr>
            <w:r>
              <w:rPr>
                <w:rFonts w:ascii="Aptos" w:hAnsi="Aptos"/>
                <w:b/>
                <w:i w:val="0"/>
                <w:color w:val="17365D"/>
                <w:sz w:val="18"/>
              </w:rPr>
              <w:t>Önerilen cevap</w:t>
            </w:r>
          </w:p>
          <w:p>
            <w:pPr>
              <w:spacing w:before="0" w:after="0" w:line="247" w:lineRule="auto"/>
            </w:pPr>
            <w:r>
              <w:rPr>
                <w:rFonts w:ascii="Aptos" w:hAnsi="Aptos"/>
                <w:b w:val="0"/>
                <w:i w:val="0"/>
                <w:color w:val="17243A"/>
                <w:sz w:val="16"/>
              </w:rPr>
              <w:t>Bu projede problemimi ‘en ucuz saat’ yerine fiyat ve karbonu birlikte optimize eden tarihsel bir karar sorusu olarak tanımladım. Dört API’den gelen farklı çözünürlükteki verileri UTC’de birleştiren tekrar çalıştırılabilir bir Python ETL’i kurdum. Karbonu 15 dakikadan saatliğe yalnızca tam gözlemlerde agregasyonla getirdim, temiz veriyi MySQL’e idempotent biçimde yükledim ve SQL kalite kontrolleriyle notebook sonuçlarını doğruladım. Analizde alt çeyrek eşikleri, korelasyon ve eşleşmiş gün karşılaştırması kullandım; 12:00–16:00 penceresini bu örneklemde en iyi tarihsel denge olarak buldum. Ayrı olarak leakage’i azaltan kronolojik hold-out ile bir sonraki saat fiyat modelini test ettim. Son olarak bulguyu Streamlit ve Tableau’ya taşıdım; uygulamada canlı tahmin varmış gibi davranmayıp tarihsel kapsamı açıkça gösterdim.</w:t>
            </w:r>
          </w:p>
        </w:tc>
      </w:tr>
    </w:tbl>
    <w:p>
      <w:pPr>
        <w:spacing w:before="100" w:after="60" w:line="247" w:lineRule="auto"/>
        <w:keepNext/>
      </w:pPr>
      <w:r>
        <w:rPr>
          <w:rFonts w:ascii="Aptos" w:hAnsi="Aptos"/>
          <w:b/>
          <w:i w:val="0"/>
          <w:color w:val="17365D"/>
          <w:sz w:val="22"/>
        </w:rPr>
        <w:t>Beklenen teknik sorulara kısa cevap yönü</w:t>
      </w:r>
    </w:p>
    <w:tbl>
      <w:tblPr>
        <w:tblW w:type="auto" w:w="0"/>
        <w:jc w:val="center"/>
        <w:tblLayout w:type="autofit"/>
        <w:tblLook w:firstColumn="1" w:firstRow="1" w:lastColumn="0" w:lastRow="0" w:noHBand="0" w:noVBand="1" w:val="04A0"/>
      </w:tblPr>
      <w:tblGrid>
        <w:gridCol w:w="5161"/>
        <w:gridCol w:w="5161"/>
      </w:tblGrid>
      <w:tr>
        <w:tc>
          <w:tcPr>
            <w:tcW w:type="dxa" w:w="5161"/>
            <w:shd w:fill="FFFFFF"/>
            <w:tcBorders>
              <w:top w:val="single" w:sz="6" w:space="0" w:color="C9D7E8"/>
              <w:left w:val="single" w:sz="6" w:space="0" w:color="C9D7E8"/>
              <w:bottom w:val="single" w:sz="6" w:space="0" w:color="C9D7E8"/>
              <w:right w:val="single" w:sz="6" w:space="0" w:color="C9D7E8"/>
            </w:tcBorders>
            <w:tcMar>
              <w:top w:w="70" w:type="dxa"/>
              <w:start w:w="100" w:type="dxa"/>
              <w:bottom w:w="70" w:type="dxa"/>
              <w:end w:w="100" w:type="dxa"/>
            </w:tcMar>
          </w:tcPr>
          <w:p>
            <w:r>
              <w:rPr>
                <w:rFonts w:ascii="Aptos" w:hAnsi="Aptos"/>
                <w:b/>
                <w:i w:val="0"/>
                <w:color w:val="17365D"/>
                <w:sz w:val="15"/>
              </w:rPr>
              <w:t>Neden UTC?</w:t>
            </w:r>
          </w:p>
          <w:p>
            <w:r>
              <w:rPr>
                <w:rFonts w:ascii="Aptos" w:hAnsi="Aptos"/>
                <w:b w:val="0"/>
                <w:i w:val="0"/>
                <w:color w:val="17243A"/>
                <w:sz w:val="14"/>
              </w:rPr>
              <w:t>DST tekrarlarını ve kaynaklar arası saat kaymalarını önlemek; yerel saati yalnızca sunumda üretmek için.</w:t>
            </w:r>
          </w:p>
        </w:tc>
        <w:tc>
          <w:tcPr>
            <w:tcW w:type="dxa" w:w="5161"/>
            <w:shd w:fill="FFFFFF"/>
            <w:tcBorders>
              <w:top w:val="single" w:sz="6" w:space="0" w:color="C9D7E8"/>
              <w:left w:val="single" w:sz="6" w:space="0" w:color="C9D7E8"/>
              <w:bottom w:val="single" w:sz="6" w:space="0" w:color="C9D7E8"/>
              <w:right w:val="single" w:sz="6" w:space="0" w:color="C9D7E8"/>
            </w:tcBorders>
            <w:tcMar>
              <w:top w:w="70" w:type="dxa"/>
              <w:start w:w="100" w:type="dxa"/>
              <w:bottom w:w="70" w:type="dxa"/>
              <w:end w:w="100" w:type="dxa"/>
            </w:tcMar>
          </w:tcPr>
          <w:p>
            <w:r>
              <w:rPr>
                <w:rFonts w:ascii="Aptos" w:hAnsi="Aptos"/>
                <w:b/>
                <w:i w:val="0"/>
                <w:color w:val="17365D"/>
                <w:sz w:val="15"/>
              </w:rPr>
              <w:t>Neden inner join?</w:t>
            </w:r>
          </w:p>
          <w:p>
            <w:r>
              <w:rPr>
                <w:rFonts w:ascii="Aptos" w:hAnsi="Aptos"/>
                <w:b w:val="0"/>
                <w:i w:val="0"/>
                <w:color w:val="17243A"/>
                <w:sz w:val="14"/>
              </w:rPr>
              <w:t>Analizde her saatte dört sinyalin de bulunmasını garanti etmek için; bedeli daha küçük örneklemdir.</w:t>
            </w:r>
          </w:p>
        </w:tc>
      </w:tr>
      <w:tr>
        <w:tc>
          <w:tcPr>
            <w:tcW w:type="dxa" w:w="5161"/>
            <w:shd w:fill="FFFFFF"/>
            <w:tcBorders>
              <w:top w:val="single" w:sz="6" w:space="0" w:color="C9D7E8"/>
              <w:left w:val="single" w:sz="6" w:space="0" w:color="C9D7E8"/>
              <w:bottom w:val="single" w:sz="6" w:space="0" w:color="C9D7E8"/>
              <w:right w:val="single" w:sz="6" w:space="0" w:color="C9D7E8"/>
            </w:tcBorders>
            <w:tcMar>
              <w:top w:w="70" w:type="dxa"/>
              <w:start w:w="100" w:type="dxa"/>
              <w:bottom w:w="70" w:type="dxa"/>
              <w:end w:w="100" w:type="dxa"/>
            </w:tcMar>
          </w:tcPr>
          <w:p>
            <w:r>
              <w:rPr>
                <w:rFonts w:ascii="Aptos" w:hAnsi="Aptos"/>
                <w:b/>
                <w:i w:val="0"/>
                <w:color w:val="17365D"/>
                <w:sz w:val="15"/>
              </w:rPr>
              <w:t>Neden quantile?</w:t>
            </w:r>
          </w:p>
          <w:p>
            <w:r>
              <w:rPr>
                <w:rFonts w:ascii="Aptos" w:hAnsi="Aptos"/>
                <w:b w:val="0"/>
                <w:i w:val="0"/>
                <w:color w:val="17243A"/>
                <w:sz w:val="14"/>
              </w:rPr>
              <w:t>Ölçekten bağımsız, açıklanabilir ve veri setine uyumlu eşikler üretmek için; mutlak politika eşiği değildir.</w:t>
            </w:r>
          </w:p>
        </w:tc>
        <w:tc>
          <w:tcPr>
            <w:tcW w:type="dxa" w:w="5161"/>
            <w:shd w:fill="FFFFFF"/>
            <w:tcBorders>
              <w:top w:val="single" w:sz="6" w:space="0" w:color="C9D7E8"/>
              <w:left w:val="single" w:sz="6" w:space="0" w:color="C9D7E8"/>
              <w:bottom w:val="single" w:sz="6" w:space="0" w:color="C9D7E8"/>
              <w:right w:val="single" w:sz="6" w:space="0" w:color="C9D7E8"/>
            </w:tcBorders>
            <w:tcMar>
              <w:top w:w="70" w:type="dxa"/>
              <w:start w:w="100" w:type="dxa"/>
              <w:bottom w:w="70" w:type="dxa"/>
              <w:end w:w="100" w:type="dxa"/>
            </w:tcMar>
          </w:tcPr>
          <w:p>
            <w:r>
              <w:rPr>
                <w:rFonts w:ascii="Aptos" w:hAnsi="Aptos"/>
                <w:b/>
                <w:i w:val="0"/>
                <w:color w:val="17365D"/>
                <w:sz w:val="15"/>
              </w:rPr>
              <w:t>Model neden app’te yok?</w:t>
            </w:r>
          </w:p>
          <w:p>
            <w:r>
              <w:rPr>
                <w:rFonts w:ascii="Aptos" w:hAnsi="Aptos"/>
                <w:b w:val="0"/>
                <w:i w:val="0"/>
                <w:color w:val="17243A"/>
                <w:sz w:val="14"/>
              </w:rPr>
              <w:t>Model doğrulandı ama canlı veri/serving/monitoring zinciri kurulmadığı için üründe tahmin iddiası yapılmadı.</w:t>
            </w:r>
          </w:p>
        </w:tc>
      </w:tr>
    </w:tbl>
    <w:sectPr w:rsidR="00FC693F" w:rsidRPr="0006063C" w:rsidSect="00034616">
      <w:footerReference w:type="default" r:id="rId9"/>
      <w:pgSz w:w="11906" w:h="16838"/>
      <w:pgMar w:top="691"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7" w:lineRule="auto"/>
      <w:jc w:val="center"/>
    </w:pPr>
    <w:r>
      <w:rPr>
        <w:rFonts w:ascii="Aptos" w:hAnsi="Aptos"/>
        <w:b w:val="0"/>
        <w:i w:val="0"/>
        <w:color w:val="52647A"/>
        <w:sz w:val="14"/>
      </w:rPr>
      <w:t xml:space="preserve">SMART POWER · TEKNİK PROJE REHBERİ     |     </w:t>
    </w:r>
    <w:r>
      <w:rPr>
        <w:rFonts w:ascii="Aptos" w:hAnsi="Aptos"/>
        <w:color w:val="52647A"/>
        <w:sz w:val="14"/>
      </w:rPr>
      <w:fldChar w:fldCharType="begin"/>
      <w:instrText xml:space="preserve"> PAGE </w:instrText>
      <w:fldChar w:fldCharType="end"/>
    </w:r>
    <w:r>
      <w:rPr>
        <w:rFonts w:ascii="Aptos" w:hAnsi="Aptos"/>
        <w:b w:val="0"/>
        <w:i w:val="0"/>
        <w:color w:val="52647A"/>
        <w:sz w:val="14"/>
      </w:rPr>
      <w:t>/5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color w:val="17243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