
<file path=[Content_Types].xml><?xml version="1.0" encoding="utf-8"?>
<Types xmlns="http://schemas.openxmlformats.org/package/2006/content-types">
  <Default Extension="jpeg" ContentType="image/jpeg"/>
  <Default Extension="JPG" ContentType="image/.jpg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spacing w:val="-12"/>
          <w:kern w:val="40"/>
          <w:sz w:val="36"/>
          <w:lang w:eastAsia="zh-CN"/>
        </w:rPr>
      </w:pPr>
    </w:p>
    <w:p>
      <w:pPr>
        <w:rPr>
          <w:spacing w:val="-12"/>
          <w:kern w:val="40"/>
          <w:sz w:val="36"/>
        </w:rPr>
      </w:pPr>
    </w:p>
    <w:p>
      <w:pPr>
        <w:rPr>
          <w:spacing w:val="-12"/>
          <w:kern w:val="40"/>
          <w:sz w:val="36"/>
        </w:rPr>
      </w:pPr>
    </w:p>
    <w:p>
      <w:pPr>
        <w:jc w:val="center"/>
        <w:rPr>
          <w:spacing w:val="-12"/>
          <w:kern w:val="40"/>
          <w:sz w:val="48"/>
          <w:szCs w:val="48"/>
        </w:rPr>
      </w:pPr>
      <w:r>
        <w:rPr>
          <w:spacing w:val="-12"/>
          <w:kern w:val="40"/>
          <w:sz w:val="48"/>
          <w:szCs w:val="48"/>
        </w:rPr>
        <w:t>202</w:t>
      </w:r>
      <w:r>
        <w:rPr>
          <w:rFonts w:hint="eastAsia"/>
          <w:spacing w:val="-12"/>
          <w:kern w:val="40"/>
          <w:sz w:val="48"/>
          <w:szCs w:val="48"/>
          <w:lang w:val="en-US" w:eastAsia="zh-CN"/>
        </w:rPr>
        <w:t>5</w:t>
      </w:r>
      <w:r>
        <w:rPr>
          <w:rFonts w:hAnsi="宋体"/>
          <w:spacing w:val="-12"/>
          <w:kern w:val="40"/>
          <w:sz w:val="48"/>
          <w:szCs w:val="48"/>
        </w:rPr>
        <w:t>年</w:t>
      </w:r>
      <w:r>
        <w:rPr>
          <w:rFonts w:hint="eastAsia" w:hAnsi="宋体"/>
          <w:spacing w:val="-12"/>
          <w:kern w:val="40"/>
          <w:sz w:val="48"/>
          <w:szCs w:val="48"/>
          <w:lang w:val="en-US" w:eastAsia="zh-CN"/>
        </w:rPr>
        <w:t>全国</w:t>
      </w:r>
      <w:r>
        <w:rPr>
          <w:rFonts w:hAnsi="宋体"/>
          <w:spacing w:val="-12"/>
          <w:kern w:val="40"/>
          <w:sz w:val="48"/>
          <w:szCs w:val="48"/>
        </w:rPr>
        <w:t>大学生电子设计竞赛</w:t>
      </w:r>
    </w:p>
    <w:p>
      <w:pPr>
        <w:jc w:val="center"/>
        <w:rPr>
          <w:spacing w:val="-12"/>
          <w:kern w:val="40"/>
          <w:sz w:val="36"/>
        </w:rPr>
      </w:pPr>
    </w:p>
    <w:p>
      <w:pPr>
        <w:spacing w:line="300" w:lineRule="auto"/>
        <w:jc w:val="center"/>
        <w:rPr>
          <w:rFonts w:hint="eastAsia" w:ascii="Times New Roman" w:hAnsi="宋体" w:eastAsia="宋体" w:cs="Times New Roman"/>
          <w:b/>
          <w:sz w:val="36"/>
          <w:szCs w:val="36"/>
          <w:lang w:val="en-US" w:eastAsia="zh-CN"/>
        </w:rPr>
      </w:pPr>
    </w:p>
    <w:p>
      <w:pPr>
        <w:spacing w:line="300" w:lineRule="auto"/>
        <w:jc w:val="center"/>
        <w:outlineLvl w:val="0"/>
        <w:rPr>
          <w:rFonts w:hint="eastAsia" w:ascii="Times New Roman" w:hAnsi="宋体" w:eastAsia="宋体" w:cs="Times New Roman"/>
          <w:b/>
          <w:sz w:val="36"/>
          <w:szCs w:val="36"/>
          <w:lang w:val="en-US" w:eastAsia="zh-CN"/>
        </w:rPr>
      </w:pPr>
      <w:bookmarkStart w:id="0" w:name="_Toc24738"/>
      <w:bookmarkStart w:id="1" w:name="_Toc14821"/>
      <w:bookmarkStart w:id="2" w:name="_Toc23939"/>
      <w:r>
        <w:rPr>
          <w:rFonts w:hint="eastAsia" w:ascii="Times New Roman" w:hAnsi="宋体" w:eastAsia="宋体" w:cs="Times New Roman"/>
          <w:b/>
          <w:sz w:val="36"/>
          <w:szCs w:val="36"/>
          <w:lang w:val="en-US" w:eastAsia="zh-CN"/>
        </w:rPr>
        <w:t>能量回馈的变流器负载试验装置（A题）</w:t>
      </w:r>
      <w:bookmarkEnd w:id="0"/>
      <w:bookmarkEnd w:id="1"/>
      <w:bookmarkEnd w:id="2"/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color w:val="FF0000"/>
          <w:sz w:val="56"/>
          <w:szCs w:val="32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2"/>
          <w:szCs w:val="32"/>
        </w:rPr>
      </w:pPr>
      <w:r>
        <w:rPr>
          <w:spacing w:val="-12"/>
          <w:kern w:val="40"/>
          <w:sz w:val="36"/>
        </w:rPr>
        <w:drawing>
          <wp:anchor distT="0" distB="107950" distL="114300" distR="288290" simplePos="0" relativeHeight="251659264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99060</wp:posOffset>
            </wp:positionV>
            <wp:extent cx="1440180" cy="902335"/>
            <wp:effectExtent l="0" t="0" r="7620" b="12065"/>
            <wp:wrapNone/>
            <wp:docPr id="1" name="图片 3" descr="logo-b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logo-bw1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AFF"/>
                        </a:clrFrom>
                        <a:clrTo>
                          <a:srgbClr val="FFFAFF">
                            <a:alpha val="0"/>
                          </a:srgbClr>
                        </a:clrTo>
                      </a:clrChange>
                      <a:lum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</w:t>
      </w:r>
      <w:r>
        <w:rPr>
          <w:rFonts w:hint="eastAsia"/>
          <w:b/>
          <w:sz w:val="32"/>
          <w:szCs w:val="32"/>
          <w:lang w:val="en-US" w:eastAsia="zh-CN"/>
        </w:rPr>
        <w:t>5</w:t>
      </w:r>
      <w:r>
        <w:rPr>
          <w:rFonts w:hAnsi="宋体"/>
          <w:b/>
          <w:sz w:val="32"/>
          <w:szCs w:val="32"/>
        </w:rPr>
        <w:t>年</w:t>
      </w:r>
      <w:r>
        <w:rPr>
          <w:rFonts w:hint="eastAsia" w:hAnsi="宋体"/>
          <w:b/>
          <w:sz w:val="32"/>
          <w:szCs w:val="32"/>
          <w:lang w:val="en-US" w:eastAsia="zh-CN"/>
        </w:rPr>
        <w:t>8</w:t>
      </w:r>
      <w:r>
        <w:rPr>
          <w:rFonts w:hAnsi="宋体"/>
          <w:b/>
          <w:sz w:val="32"/>
          <w:szCs w:val="32"/>
        </w:rPr>
        <w:t>月</w:t>
      </w:r>
      <w:r>
        <w:rPr>
          <w:rFonts w:hint="eastAsia" w:hAnsi="宋体"/>
          <w:b/>
          <w:sz w:val="32"/>
          <w:szCs w:val="32"/>
          <w:lang w:val="en-US" w:eastAsia="zh-CN"/>
        </w:rPr>
        <w:t>2</w:t>
      </w:r>
      <w:r>
        <w:rPr>
          <w:rFonts w:hAnsi="宋体"/>
          <w:b/>
          <w:sz w:val="32"/>
          <w:szCs w:val="32"/>
        </w:rPr>
        <w:t>日</w:t>
      </w:r>
    </w:p>
    <w:p>
      <w:pPr>
        <w:jc w:val="center"/>
        <w:rPr>
          <w:b/>
          <w:sz w:val="32"/>
          <w:szCs w:val="32"/>
        </w:rPr>
        <w:sectPr>
          <w:footerReference r:id="rId3" w:type="default"/>
          <w:footerReference r:id="rId4" w:type="even"/>
          <w:pgSz w:w="11906" w:h="16838"/>
          <w:pgMar w:top="1701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bidi w:val="0"/>
        <w:jc w:val="center"/>
        <w:outlineLvl w:val="0"/>
        <w:rPr>
          <w:b/>
          <w:sz w:val="32"/>
          <w:szCs w:val="32"/>
        </w:rPr>
      </w:pPr>
      <w:bookmarkStart w:id="3" w:name="_Toc21569"/>
      <w:bookmarkStart w:id="4" w:name="_Toc12362"/>
      <w:bookmarkStart w:id="5" w:name="_Toc16776"/>
      <w:r>
        <w:rPr>
          <w:rFonts w:hAnsi="宋体"/>
          <w:b/>
          <w:sz w:val="32"/>
          <w:szCs w:val="32"/>
        </w:rPr>
        <w:t>摘</w:t>
      </w:r>
      <w:r>
        <w:rPr>
          <w:b/>
          <w:sz w:val="32"/>
          <w:szCs w:val="32"/>
        </w:rPr>
        <w:t xml:space="preserve">    </w:t>
      </w:r>
      <w:r>
        <w:rPr>
          <w:rFonts w:hAnsi="宋体"/>
          <w:b/>
          <w:sz w:val="32"/>
          <w:szCs w:val="32"/>
        </w:rPr>
        <w:t>要</w:t>
      </w:r>
      <w:bookmarkEnd w:id="3"/>
      <w:bookmarkEnd w:id="4"/>
      <w:bookmarkEnd w:id="5"/>
    </w:p>
    <w:p>
      <w:pPr>
        <w:jc w:val="center"/>
        <w:rPr>
          <w:b/>
          <w:sz w:val="24"/>
          <w:szCs w:val="24"/>
        </w:rPr>
      </w:pPr>
    </w:p>
    <w:p>
      <w:pPr>
        <w:spacing w:line="300" w:lineRule="auto"/>
        <w:rPr>
          <w:rFonts w:ascii="宋体" w:cs="Arial"/>
          <w:sz w:val="24"/>
        </w:rPr>
      </w:pPr>
      <w: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本系统以三相全桥电路为核心拓扑，TMS320F28335为系统主控，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搭建具有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能量回馈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功能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的变流器负载测试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装置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系统由三相逆变器、三相PWM整流器、滤波模块、辅助电源模块、采样模块、主控模块等部分组成。变流器工作模式分为带载模式、回馈模式。系统可以自动检测状态，通过连接单元自动更换工作模式，从而决定变流器1、变流器2的工作模式。在带载模式下，变流器1作为三相对称电压源向负载供电；在回馈模式下，启动变流器2，通过三相PWM整流向直流电源回馈能量。本系统在ABC三相静止坐标系下，采用准比例-谐振控制方法，通过直接电流电压控制技术，有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提高了电流电压的控制精度，大大降低了负载调整率。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/>
        <w:spacing w:line="300" w:lineRule="auto"/>
        <w:rPr>
          <w:color w:val="FF0000"/>
        </w:rPr>
      </w:pPr>
      <w:r>
        <w:rPr>
          <w:rFonts w:hint="eastAsia" w:ascii="黑体" w:hAnsi="Arial" w:eastAsia="黑体" w:cs="Arial"/>
          <w:sz w:val="24"/>
        </w:rPr>
        <w:t>关</w:t>
      </w:r>
      <w:r>
        <w:rPr>
          <w:rFonts w:hint="eastAsia" w:ascii="黑体" w:hAnsi="Arial" w:eastAsia="黑体" w:cs="Arial"/>
          <w:sz w:val="24"/>
          <w:lang w:val="en-US" w:eastAsia="zh-CN"/>
        </w:rPr>
        <w:t>键词：三相逆变；三相PWM整流；QPR控制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br w:type="page"/>
      </w:r>
    </w:p>
    <w:sdt>
      <w:sdt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id w:val="147468048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kern w:val="2"/>
          <w:sz w:val="24"/>
          <w:szCs w:val="24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440" w:lineRule="exact"/>
            <w:ind w:left="0" w:leftChars="0" w:right="0" w:rightChars="0" w:firstLine="0" w:firstLineChars="0"/>
            <w:jc w:val="center"/>
            <w:textAlignment w:val="auto"/>
            <w:rPr>
              <w:rFonts w:hint="eastAsia" w:ascii="宋体" w:hAnsi="宋体" w:eastAsia="宋体" w:cs="宋体"/>
              <w:b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</w:p>
        <w:p>
          <w:pPr>
            <w:pStyle w:val="19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b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instrText xml:space="preserve"> HYPERLINK \l _Toc20567 </w:instrText>
          </w: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>一</w:t>
          </w:r>
          <w:r>
            <w:rPr>
              <w:rFonts w:hint="eastAsia" w:ascii="宋体" w:hAnsi="宋体" w:eastAsia="宋体" w:cs="宋体"/>
              <w:b/>
              <w:sz w:val="24"/>
              <w:szCs w:val="24"/>
              <w:lang w:eastAsia="zh-CN"/>
            </w:rPr>
            <w:t>、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>系统方案设计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instrText xml:space="preserve"> PAGEREF _Toc20567 \h </w:instrTex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HYPERLINK \l _Toc28086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1.1 主控制器件的论证与选择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_Toc28086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HYPERLINK \l _Toc3861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1.2 能量回馈方式的论证与选择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_Toc3861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HYPERLINK \l _Toc21296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电流采样电路</w:t>
          </w:r>
          <w:r>
            <w:rPr>
              <w:rFonts w:hint="eastAsia" w:ascii="宋体" w:hAnsi="宋体" w:eastAsia="宋体" w:cs="宋体"/>
              <w:sz w:val="24"/>
              <w:szCs w:val="24"/>
            </w:rPr>
            <w:t>的论证与选择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_Toc21296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HYPERLINK \l _Toc4135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 控制系统的论证与选择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_Toc4135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b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instrText xml:space="preserve"> HYPERLINK \l _Toc30616 </w:instrText>
          </w: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>二、系统理论分析与计算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instrText xml:space="preserve"> PAGEREF _Toc30616 \h </w:instrTex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HYPERLINK \l _Toc30645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2.1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系统控制方案</w:t>
          </w:r>
          <w:r>
            <w:rPr>
              <w:rFonts w:hint="eastAsia" w:ascii="宋体" w:hAnsi="宋体" w:eastAsia="宋体" w:cs="宋体"/>
              <w:sz w:val="24"/>
              <w:szCs w:val="24"/>
            </w:rPr>
            <w:t>的分析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_Toc30645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HYPERLINK \l _Toc24512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2.2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无源滤波器</w:t>
          </w:r>
          <w:r>
            <w:rPr>
              <w:rFonts w:hint="eastAsia" w:ascii="宋体" w:hAnsi="宋体" w:eastAsia="宋体" w:cs="宋体"/>
              <w:sz w:val="24"/>
              <w:szCs w:val="24"/>
            </w:rPr>
            <w:t>的计算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_Toc24512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HYPERLINK \l _Toc2921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2.3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硬件保护动作阈值</w:t>
          </w:r>
          <w:r>
            <w:rPr>
              <w:rFonts w:hint="eastAsia" w:ascii="宋体" w:hAnsi="宋体" w:eastAsia="宋体" w:cs="宋体"/>
              <w:sz w:val="24"/>
              <w:szCs w:val="24"/>
            </w:rPr>
            <w:t>的计算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_Toc2921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b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instrText xml:space="preserve"> HYPERLINK \l _Toc17987 </w:instrText>
          </w: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>三、硬件电路与程序设计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instrText xml:space="preserve"> PAGEREF _Toc17987 \h </w:instrTex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HYPERLINK \l _Toc25455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3.1 硬件电路设计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_Toc25455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HYPERLINK \l _Toc3387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3.2 程序设计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_Toc3387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b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instrText xml:space="preserve"> HYPERLINK \l _Toc16747 </w:instrText>
          </w: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>四、测试方案与结果分析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instrText xml:space="preserve"> PAGEREF _Toc16747 \h </w:instrTex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HYPERLINK \l _Toc30610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 测试方案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_Toc30610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HYPERLINK \l _Toc26282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 测试条件与仪器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_Toc26282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HYPERLINK \l _Toc1965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 测试结果及分析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_Toc1965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b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instrText xml:space="preserve"> HYPERLINK \l _Toc12527 </w:instrText>
          </w: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>五、 总结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instrText xml:space="preserve"> PAGEREF _Toc12527 \h </w:instrTex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</w:sdtContent>
    </w:sdt>
    <w:p>
      <w:pPr>
        <w:spacing w:line="300" w:lineRule="auto"/>
        <w:jc w:val="center"/>
        <w:rPr>
          <w:b/>
          <w:sz w:val="24"/>
          <w:szCs w:val="24"/>
        </w:rPr>
        <w:sectPr>
          <w:pgSz w:w="11906" w:h="16838"/>
          <w:pgMar w:top="1701" w:right="1418" w:bottom="1418" w:left="1418" w:header="851" w:footer="992" w:gutter="0"/>
          <w:cols w:space="720" w:num="1"/>
          <w:docGrid w:type="lines" w:linePitch="312" w:charSpace="0"/>
        </w:sectPr>
      </w:pPr>
    </w:p>
    <w:p>
      <w:pPr>
        <w:spacing w:line="300" w:lineRule="auto"/>
        <w:jc w:val="center"/>
        <w:outlineLvl w:val="0"/>
        <w:rPr>
          <w:rFonts w:hint="eastAsia" w:ascii="Times New Roman" w:hAnsi="宋体" w:eastAsia="宋体" w:cs="Times New Roman"/>
          <w:b/>
          <w:sz w:val="36"/>
          <w:szCs w:val="36"/>
        </w:rPr>
      </w:pPr>
      <w:bookmarkStart w:id="6" w:name="_Toc4273"/>
      <w:bookmarkStart w:id="7" w:name="_Toc23696"/>
      <w:bookmarkStart w:id="8" w:name="_Toc12968"/>
      <w:r>
        <w:rPr>
          <w:rFonts w:hint="eastAsia" w:ascii="Times New Roman" w:hAnsi="宋体" w:eastAsia="宋体" w:cs="Times New Roman"/>
          <w:b/>
          <w:sz w:val="36"/>
          <w:szCs w:val="36"/>
          <w:lang w:val="en-US" w:eastAsia="zh-CN"/>
        </w:rPr>
        <w:t>能量回馈的变流器负载试验装置</w:t>
      </w:r>
      <w:r>
        <w:rPr>
          <w:rFonts w:hint="eastAsia" w:ascii="Times New Roman" w:hAnsi="宋体" w:eastAsia="宋体" w:cs="Times New Roman"/>
          <w:b/>
          <w:sz w:val="36"/>
          <w:szCs w:val="36"/>
        </w:rPr>
        <w:t>（</w:t>
      </w:r>
      <w:r>
        <w:rPr>
          <w:rFonts w:hint="eastAsia" w:ascii="Times New Roman" w:hAnsi="宋体" w:eastAsia="宋体" w:cs="Times New Roman"/>
          <w:b/>
          <w:sz w:val="36"/>
          <w:szCs w:val="36"/>
          <w:lang w:val="en-US" w:eastAsia="zh-CN"/>
        </w:rPr>
        <w:t>A</w:t>
      </w:r>
      <w:r>
        <w:rPr>
          <w:rFonts w:hint="eastAsia" w:ascii="Times New Roman" w:hAnsi="宋体" w:eastAsia="宋体" w:cs="Times New Roman"/>
          <w:b/>
          <w:sz w:val="36"/>
          <w:szCs w:val="36"/>
        </w:rPr>
        <w:t>题）</w:t>
      </w:r>
      <w:bookmarkEnd w:id="6"/>
      <w:bookmarkEnd w:id="7"/>
      <w:bookmarkEnd w:id="8"/>
    </w:p>
    <w:p>
      <w:pPr>
        <w:spacing w:line="300" w:lineRule="auto"/>
        <w:jc w:val="center"/>
        <w:rPr>
          <w:b/>
          <w:sz w:val="36"/>
          <w:szCs w:val="36"/>
        </w:rPr>
      </w:pPr>
      <w:r>
        <w:rPr>
          <w:rFonts w:hAnsi="宋体"/>
          <w:b/>
          <w:sz w:val="36"/>
          <w:szCs w:val="36"/>
        </w:rPr>
        <w:t>【</w:t>
      </w:r>
      <w:r>
        <w:rPr>
          <w:rFonts w:hint="eastAsia" w:hAnsi="宋体"/>
          <w:b/>
          <w:sz w:val="36"/>
          <w:szCs w:val="36"/>
        </w:rPr>
        <w:t>本科</w:t>
      </w:r>
      <w:r>
        <w:rPr>
          <w:rFonts w:hAnsi="宋体"/>
          <w:b/>
          <w:sz w:val="36"/>
          <w:szCs w:val="36"/>
        </w:rPr>
        <w:t>组】</w:t>
      </w:r>
    </w:p>
    <w:p>
      <w:pPr>
        <w:jc w:val="center"/>
        <w:rPr>
          <w:b/>
          <w:sz w:val="24"/>
          <w:szCs w:val="24"/>
        </w:rPr>
      </w:pPr>
    </w:p>
    <w:p>
      <w:pPr>
        <w:pStyle w:val="2"/>
        <w:spacing w:before="0" w:after="0" w:line="300" w:lineRule="auto"/>
        <w:rPr>
          <w:sz w:val="28"/>
          <w:szCs w:val="28"/>
        </w:rPr>
      </w:pPr>
      <w:bookmarkStart w:id="9" w:name="_Toc426537774"/>
      <w:bookmarkStart w:id="10" w:name="_Toc23933"/>
      <w:bookmarkStart w:id="11" w:name="_Toc20567"/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Ansi="宋体"/>
          <w:sz w:val="28"/>
          <w:szCs w:val="28"/>
        </w:rPr>
        <w:t>系统方案</w:t>
      </w:r>
      <w:bookmarkEnd w:id="9"/>
      <w:r>
        <w:rPr>
          <w:rFonts w:hint="eastAsia" w:hAnsi="宋体"/>
          <w:sz w:val="28"/>
          <w:szCs w:val="28"/>
        </w:rPr>
        <w:t>设计</w:t>
      </w:r>
      <w:bookmarkEnd w:id="10"/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614" w:firstLineChars="256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系统主要由DSP控制模块、功率拓扑、采样模块、无源滤波模块、辅助电源模块组成。三相逆变作为变流器1产生三相对称交流电，三相PWM整流器将三相交流电转换为直流，升压回馈至直流电源，实现能量回馈；无源滤波模块对功率拓扑输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方波进行滤波；采样模块完成对输出电流与电压的采样与反馈；辅助电源将高压直流电转换为低压直流电，实现与功率拓扑的隔离并向控制系统供电。</w:t>
      </w:r>
    </w:p>
    <w:p>
      <w:pPr>
        <w:jc w:val="center"/>
        <w:rPr>
          <w:rFonts w:hint="eastAsia" w:eastAsia="宋体"/>
          <w:color w:val="FF0000"/>
          <w:sz w:val="96"/>
          <w:szCs w:val="24"/>
          <w:lang w:eastAsia="zh-CN"/>
        </w:rPr>
      </w:pPr>
      <w:r>
        <w:rPr>
          <w:rFonts w:hint="eastAsia" w:eastAsia="宋体"/>
          <w:color w:val="FF0000"/>
          <w:sz w:val="96"/>
          <w:szCs w:val="24"/>
          <w:lang w:eastAsia="zh-CN"/>
        </w:rPr>
        <w:drawing>
          <wp:inline distT="0" distB="0" distL="114300" distR="114300">
            <wp:extent cx="3905885" cy="3136900"/>
            <wp:effectExtent l="0" t="0" r="5715" b="0"/>
            <wp:docPr id="3" name="图片 3" descr="25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5报告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37" w:firstLineChars="256"/>
        <w:jc w:val="center"/>
        <w:rPr>
          <w:rFonts w:hint="eastAsia" w:hAnsi="宋体"/>
        </w:rPr>
      </w:pPr>
      <w:r>
        <w:rPr>
          <w:rFonts w:hint="eastAsia" w:hAnsi="宋体"/>
        </w:rPr>
        <w:t>图1</w:t>
      </w:r>
      <w:r>
        <w:rPr>
          <w:rFonts w:hAnsi="宋体"/>
        </w:rPr>
        <w:t xml:space="preserve">  </w:t>
      </w:r>
      <w:r>
        <w:rPr>
          <w:rFonts w:hint="eastAsia" w:hAnsi="宋体"/>
          <w:lang w:val="en-US" w:eastAsia="zh-CN"/>
        </w:rPr>
        <w:t>能量回馈的变流器负载实验装置系统</w:t>
      </w:r>
      <w:r>
        <w:rPr>
          <w:rFonts w:hint="eastAsia" w:hAnsi="宋体"/>
        </w:rPr>
        <w:t>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12" w:name="_Toc42653777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下面分别就主控器件、能量反馈方式、系统控制策略进行论证与选择。</w:t>
      </w:r>
    </w:p>
    <w:p>
      <w:pPr>
        <w:pStyle w:val="3"/>
        <w:spacing w:before="0" w:after="0" w:line="300" w:lineRule="auto"/>
        <w:outlineLvl w:val="1"/>
        <w:rPr>
          <w:rFonts w:hint="eastAsia" w:ascii="Times New Roman" w:hAnsi="宋体" w:eastAsia="宋体"/>
          <w:sz w:val="28"/>
          <w:szCs w:val="28"/>
        </w:rPr>
      </w:pPr>
      <w:bookmarkStart w:id="13" w:name="_Toc28086"/>
      <w:bookmarkStart w:id="14" w:name="_Toc10546"/>
      <w:r>
        <w:rPr>
          <w:rFonts w:ascii="Times New Roman" w:hAnsi="Times New Roman" w:eastAsia="宋体"/>
          <w:sz w:val="28"/>
          <w:szCs w:val="28"/>
        </w:rPr>
        <w:t>1.</w:t>
      </w:r>
      <w:r>
        <w:rPr>
          <w:rFonts w:hint="eastAsia" w:ascii="Times New Roman" w:hAnsi="Times New Roman" w:eastAsia="宋体"/>
          <w:sz w:val="28"/>
          <w:szCs w:val="28"/>
        </w:rPr>
        <w:t>1 主控制器件</w:t>
      </w:r>
      <w:r>
        <w:rPr>
          <w:rFonts w:ascii="Times New Roman" w:hAnsi="宋体" w:eastAsia="宋体"/>
          <w:sz w:val="28"/>
          <w:szCs w:val="28"/>
        </w:rPr>
        <w:t>的论证与选择</w:t>
      </w:r>
      <w:bookmarkEnd w:id="12"/>
      <w:bookmarkEnd w:id="13"/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15" w:name="_Toc42653777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方案一：采用意法半导体的STM32G4系列MCU作为主控芯片。G4系列具有170MHz主频，模拟、数字外设丰富。其中ADC可达4Msps，但是需要依赖DMA实现数据转运。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方案二：采用德州仪器的TMS320F28335系列DSP作为主控芯片。在算力方面，内置硬件FPU，具有更短的中断延时，处理能力更强。外设方面，ADC最大可达12.5Msps，无需依赖DMA转运，外设独立度更高。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综合以上两种方案，选择方案二。</w:t>
      </w:r>
    </w:p>
    <w:bookmarkEnd w:id="15"/>
    <w:p>
      <w:pPr>
        <w:pStyle w:val="3"/>
        <w:spacing w:before="0" w:after="0" w:line="300" w:lineRule="auto"/>
        <w:outlineLvl w:val="1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bookmarkStart w:id="16" w:name="_Toc3861"/>
      <w:bookmarkStart w:id="17" w:name="_Toc22262"/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1.2 能量回馈方式的论证与选择</w:t>
      </w:r>
      <w:bookmarkEnd w:id="16"/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方案一：采用三相无控整流与后级Boost升压。二极管无控整流为降压型拓扑，无法获得高于交流线电压峰值的直流电压，所以需要额外引入Boost升压变换器。由于前级逆变器与后级整流器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地，导致二极管整流桥实际工作在半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整流模式，无法工作在全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整流模式。进而需要更大的直流电容为后级Boost升压电路储存足够的能量与电压。由于通过二极管整流，整流损耗更大；引入额外的Boost变换器，系统更加复杂，效率低下，无法满足题目要求。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二：采用三相PWM整流器。三相PWM整流器为升压型拓扑，可以直接输出高于交流线电压峰值的直流电压，可以直接并联直流电源，直流侧电容小。因此，能量反馈部分仅需要三相PWM整流器一级变换器，系统简单。同时，逆变器输出电流为正弦波，对逆变器瞬间冲击小，可以有效减小能量回馈部分对逆变器的干扰。整流部分由MOSFET完成，导通损耗远远小于二极管无控整流损耗，系统效率更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综合考虑系统复杂度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变换器效率，选择方案二。</w:t>
      </w:r>
    </w:p>
    <w:p>
      <w:pPr>
        <w:pStyle w:val="3"/>
        <w:spacing w:before="0" w:after="0" w:line="300" w:lineRule="auto"/>
        <w:outlineLvl w:val="1"/>
        <w:rPr>
          <w:rFonts w:ascii="Times New Roman" w:hAnsi="Times New Roman" w:eastAsia="宋体"/>
          <w:sz w:val="28"/>
          <w:szCs w:val="28"/>
        </w:rPr>
      </w:pPr>
      <w:bookmarkStart w:id="18" w:name="_Toc21296"/>
      <w:bookmarkStart w:id="19" w:name="_Toc9006"/>
      <w:r>
        <w:rPr>
          <w:rFonts w:ascii="Times New Roman" w:hAnsi="Times New Roman" w:eastAsia="宋体"/>
          <w:sz w:val="28"/>
          <w:szCs w:val="28"/>
        </w:rPr>
        <w:t>1.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3</w:t>
      </w:r>
      <w:r>
        <w:rPr>
          <w:rFonts w:ascii="Times New Roman" w:hAnsi="Times New Roman" w:eastAsia="宋体"/>
          <w:sz w:val="28"/>
          <w:szCs w:val="28"/>
        </w:rPr>
        <w:t xml:space="preserve"> </w:t>
      </w:r>
      <w:r>
        <w:rPr>
          <w:rFonts w:hint="eastAsia" w:ascii="Times New Roman" w:hAnsi="宋体" w:eastAsia="宋体"/>
          <w:sz w:val="28"/>
          <w:szCs w:val="28"/>
          <w:lang w:val="en-US" w:eastAsia="zh-CN"/>
        </w:rPr>
        <w:t>电流采样电路</w:t>
      </w:r>
      <w:r>
        <w:rPr>
          <w:rFonts w:ascii="Times New Roman" w:hAnsi="宋体" w:eastAsia="宋体"/>
          <w:sz w:val="28"/>
          <w:szCs w:val="28"/>
        </w:rPr>
        <w:t>的论证与选择</w:t>
      </w:r>
      <w:bookmarkEnd w:id="18"/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方案一：采用电流感应放大器。电流感应放大器通过采集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放大采样电阻压降，作为电流反馈信号。承受共模电压范围小，在大电流、相电压波动时容易击穿。电阻耗散功率大。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方案二：采用互感器。通过电流的磁效应采集电流传感信号。隔离能力强。电流型输出，后续调理电路复杂。同时自身具有漏感、饱和现象，信号精度低，谐波衰减大。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方案三：采用霍尔电流传感器。通过霍尔效应采集电流，不依赖压降。功耗低。内置放大、偏置电路，后续调理电路简单。隔离性能好。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考虑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采样精度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隔离性能，选择方案三。</w:t>
      </w:r>
    </w:p>
    <w:p>
      <w:pPr>
        <w:pStyle w:val="3"/>
        <w:spacing w:before="0" w:after="0" w:line="300" w:lineRule="auto"/>
        <w:outlineLvl w:val="1"/>
        <w:rPr>
          <w:rFonts w:ascii="Times New Roman" w:hAnsi="Times New Roman" w:eastAsia="宋体"/>
          <w:sz w:val="28"/>
          <w:szCs w:val="28"/>
        </w:rPr>
      </w:pPr>
      <w:bookmarkStart w:id="20" w:name="_Toc25966"/>
      <w:bookmarkStart w:id="21" w:name="_Toc426537777"/>
      <w:bookmarkStart w:id="22" w:name="_Toc4135"/>
      <w:r>
        <w:rPr>
          <w:rFonts w:ascii="Times New Roman" w:hAnsi="Times New Roman" w:eastAsia="宋体"/>
          <w:sz w:val="28"/>
          <w:szCs w:val="28"/>
        </w:rPr>
        <w:t>1.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4</w:t>
      </w:r>
      <w:r>
        <w:rPr>
          <w:rFonts w:ascii="Times New Roman" w:hAnsi="Times New Roman" w:eastAsia="宋体"/>
          <w:sz w:val="28"/>
          <w:szCs w:val="28"/>
        </w:rPr>
        <w:t xml:space="preserve"> </w:t>
      </w:r>
      <w:r>
        <w:rPr>
          <w:rFonts w:ascii="Times New Roman" w:hAnsi="宋体" w:eastAsia="宋体"/>
          <w:sz w:val="28"/>
          <w:szCs w:val="28"/>
        </w:rPr>
        <w:t>控制系统的论证与选择</w:t>
      </w:r>
      <w:bookmarkEnd w:id="20"/>
      <w:bookmarkEnd w:id="21"/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一：全数字回路，采用Park变换和PI控制。通过将三相静止坐标系变换至两相旋转坐标系，实现交流量到直流量的变换。但是dq坐标系下系统无法感知零序分量，且PI自身具有积分饱和的特性，环路稳定性差。坐标变换依赖大量正、余弦计算，极大限制了最大PWM调制频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方案二：全数字回路，采用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hint="eastAsia" w:ascii="宋体" w:hAnsi="宋体" w:cs="宋体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相下的双准比例-谐振控制。QPR自身含有正弦信号的拉普拉斯变换，可对正弦信号实现无静差跟踪。而且不依赖坐标变换，对单片机处理性能要求低。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方案三：数字模拟回路混合。通过加法器、移相器等模拟模块完成部分环路计算。这种方式控制误差大，相位裕度小，参数设置、修改复杂，控制效果不佳。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综合考虑控制效果和实现难度，采用方案二，即纯数字化、准比例-谐振控制作为本装置的主要控制手段。</w:t>
      </w:r>
    </w:p>
    <w:p>
      <w:pPr>
        <w:pStyle w:val="2"/>
        <w:spacing w:before="0" w:after="0" w:line="300" w:lineRule="auto"/>
        <w:rPr>
          <w:sz w:val="28"/>
          <w:szCs w:val="28"/>
        </w:rPr>
      </w:pPr>
      <w:bookmarkStart w:id="23" w:name="_Toc426537778"/>
      <w:bookmarkStart w:id="24" w:name="_Toc30616"/>
      <w:bookmarkStart w:id="25" w:name="_Toc29608"/>
      <w:r>
        <w:rPr>
          <w:rFonts w:hint="eastAsia"/>
          <w:sz w:val="28"/>
          <w:szCs w:val="28"/>
        </w:rPr>
        <w:t>二、</w:t>
      </w:r>
      <w:r>
        <w:rPr>
          <w:sz w:val="28"/>
          <w:szCs w:val="28"/>
        </w:rPr>
        <w:t>系统理论分析与计算</w:t>
      </w:r>
      <w:bookmarkEnd w:id="23"/>
      <w:bookmarkEnd w:id="24"/>
      <w:bookmarkEnd w:id="25"/>
    </w:p>
    <w:p>
      <w:pPr>
        <w:pStyle w:val="3"/>
        <w:spacing w:before="0" w:after="0" w:line="300" w:lineRule="auto"/>
        <w:outlineLvl w:val="1"/>
        <w:rPr>
          <w:rFonts w:ascii="Times New Roman" w:hAnsi="Times New Roman" w:eastAsia="宋体"/>
          <w:sz w:val="28"/>
          <w:szCs w:val="28"/>
        </w:rPr>
      </w:pPr>
      <w:bookmarkStart w:id="26" w:name="_Toc11511"/>
      <w:bookmarkStart w:id="27" w:name="_Toc30645"/>
      <w:bookmarkStart w:id="28" w:name="_Toc426537779"/>
      <w:r>
        <w:rPr>
          <w:rFonts w:ascii="Times New Roman" w:hAnsi="Times New Roman" w:eastAsia="宋体"/>
          <w:sz w:val="28"/>
          <w:szCs w:val="28"/>
        </w:rPr>
        <w:t xml:space="preserve">2.1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系统控制方案</w:t>
      </w:r>
      <w:r>
        <w:rPr>
          <w:rFonts w:ascii="Times New Roman" w:hAnsi="宋体" w:eastAsia="宋体"/>
          <w:sz w:val="28"/>
          <w:szCs w:val="28"/>
        </w:rPr>
        <w:t>的分析</w:t>
      </w:r>
      <w:bookmarkEnd w:id="26"/>
      <w:bookmarkEnd w:id="27"/>
      <w:bookmarkEnd w:id="28"/>
      <w:r>
        <w:rPr>
          <w:rFonts w:ascii="Times New Roman" w:hAnsi="Times New Roman" w:eastAsia="宋体"/>
          <w:sz w:val="28"/>
          <w:szCs w:val="28"/>
        </w:rPr>
        <w:t xml:space="preserve">    </w:t>
      </w:r>
    </w:p>
    <w:p>
      <w:pPr>
        <w:pStyle w:val="4"/>
        <w:spacing w:before="0" w:after="0" w:line="300" w:lineRule="auto"/>
        <w:rPr>
          <w:rFonts w:hint="default" w:eastAsia="宋体"/>
          <w:sz w:val="24"/>
          <w:szCs w:val="24"/>
          <w:lang w:val="en-US" w:eastAsia="zh-CN"/>
        </w:rPr>
      </w:pPr>
      <w:bookmarkStart w:id="29" w:name="_Toc426537780"/>
      <w:r>
        <w:rPr>
          <w:sz w:val="24"/>
          <w:szCs w:val="24"/>
        </w:rPr>
        <w:t>（1）</w:t>
      </w:r>
      <w:bookmarkEnd w:id="29"/>
      <w:r>
        <w:rPr>
          <w:rFonts w:hint="eastAsia"/>
          <w:sz w:val="24"/>
          <w:szCs w:val="24"/>
          <w:lang w:val="en-US" w:eastAsia="zh-CN"/>
        </w:rPr>
        <w:t>系统设计简述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整流器部分采用全数字控制环路设计。采用基于准比例谐振的直接电流控制技术。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逆变器、整流器共用一个DSP作为主控芯片，可以省略整流器对输入电压的锁相，直接使用逆变器控制环路参考相位作为相位信号。在共用一个主控单元时，可通过内部ePWM的时基模块实现载波同步。与双主控相比，该方式可大大提高PWM同步效果，抑制载波环流。连接单元为共模电感、MKP21电容角接组成的EMI滤波器。在提高整流器、逆变器输出质量的同时，通过共模电感抑制载波环流，大大提高环路稳定性。</w:t>
      </w:r>
    </w:p>
    <w:p>
      <w:pPr>
        <w:pStyle w:val="4"/>
        <w:spacing w:before="0" w:after="0" w:line="300" w:lineRule="auto"/>
        <w:rPr>
          <w:rFonts w:hint="default"/>
          <w:lang w:val="en-US" w:eastAsia="zh-CN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  <w:lang w:val="en-US" w:eastAsia="zh-CN"/>
        </w:rPr>
        <w:t>三相整流器环路设计与能量回馈原理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0" w:name="_Toc42653778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相PWM整流器为升压型拓扑，直流输出电压高于交流线电压峰值，故PWM整流器输出可以直接并联直流电源。此时由直流电源提供稳定直流电压，不需要整流器稳定直流电压，整流器工作在电流源模式，向直流电源回馈电流。在电流源工作模式下，只需要单电流环控制输入电流。为实现对正弦信号的无静差跟踪，电流环采用QPR控制，通过逆变输出交流电压前馈解耦提高响应速度。逆变器采用三相三桥臂输出，无零线，不带有零序分量。此情况下，三相系统由三自由度系统降低为两自由度系统，只能同时控制A、C两相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相电流。在整流模式下，整流器持续向直流电容充电，提高直流侧储能电容电压。电容电压高于直流母线电容时，电流由直流电容流向直流电源，实现向直流电源的功率回馈。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由于滤波器电容采用角形连接，逆变器输出相电压为高频开关波形，故选择采集Uab、Ubc两个线电压。利用以下方程反算A、C两相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相电压。三相桥臂角接，直接采集线电流作为相电流。对相电流、相电压进行直接控制。</w:t>
      </w:r>
    </w:p>
    <w:p>
      <w:pPr>
        <w:spacing w:line="300" w:lineRule="auto"/>
        <w:ind w:firstLine="537" w:firstLineChars="224"/>
        <w:rPr>
          <w:rFonts w:hint="default" w:hAnsi="Cambria Math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kern w:val="2"/>
              <w:sz w:val="24"/>
              <w:szCs w:val="24"/>
              <w:lang w:val="en-US" w:eastAsia="zh-CN" w:bidi="ar-SA"/>
            </w:rPr>
            <m:t>U</m:t>
          </m:r>
          <m:r>
            <m:rPr>
              <m:sty m:val="p"/>
            </m:rPr>
            <w:rPr>
              <w:rFonts w:hint="eastAsia" w:ascii="Cambria Math" w:hAnsi="Cambria Math"/>
              <w:kern w:val="2"/>
              <w:sz w:val="24"/>
              <w:szCs w:val="24"/>
              <w:lang w:val="en-US" w:eastAsia="zh-CN" w:bidi="ar-SA"/>
            </w:rPr>
            <m:t>a</m:t>
          </m:r>
          <m:r>
            <m:rPr>
              <m:sty m:val="p"/>
            </m:rPr>
            <w:rPr>
              <w:rFonts w:hint="default" w:ascii="Cambria Math" w:hAnsi="Cambria Math"/>
              <w:kern w:val="2"/>
              <w:sz w:val="24"/>
              <w:szCs w:val="24"/>
              <w:lang w:val="en-US" w:eastAsia="zh-CN" w:bidi="ar-SA"/>
            </w:rPr>
            <m:t xml:space="preserve">b+Ubc+Uca=0 </m:t>
          </m:r>
        </m:oMath>
      </m:oMathPara>
    </w:p>
    <w:p>
      <w:pPr>
        <w:spacing w:line="300" w:lineRule="auto"/>
        <w:ind w:firstLine="537" w:firstLineChars="224"/>
        <w:rPr>
          <w:rFonts w:hint="default" w:hAnsi="Cambria Math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Cambria Math" w:hAnsi="Cambria Math"/>
              <w:kern w:val="2"/>
              <w:sz w:val="24"/>
              <w:szCs w:val="24"/>
              <w:lang w:val="en-US" w:eastAsia="zh-CN" w:bidi="ar-SA"/>
            </w:rPr>
            <m:t>Ua−Ub=Uab</m:t>
          </m:r>
        </m:oMath>
      </m:oMathPara>
    </w:p>
    <w:p>
      <w:pPr>
        <w:spacing w:line="300" w:lineRule="auto"/>
        <w:ind w:firstLine="537" w:firstLineChars="224"/>
        <w:rPr>
          <w:rFonts w:hint="default" w:hAnsi="Cambria Math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kern w:val="2"/>
              <w:sz w:val="24"/>
              <w:szCs w:val="24"/>
              <w:lang w:val="en-US" w:eastAsia="zh-CN" w:bidi="ar-SA"/>
            </w:rPr>
            <m:t>Ub−Uc=Ubc</m:t>
          </m:r>
        </m:oMath>
      </m:oMathPara>
    </w:p>
    <w:p>
      <w:pPr>
        <w:spacing w:line="300" w:lineRule="auto"/>
        <w:ind w:firstLine="537" w:firstLineChars="224"/>
        <w:rPr>
          <w:rFonts w:hint="default" w:hAnsi="Cambria Math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kern w:val="2"/>
              <w:sz w:val="24"/>
              <w:szCs w:val="24"/>
              <w:lang w:val="en-US" w:eastAsia="zh-CN" w:bidi="ar-SA"/>
            </w:rPr>
            <m:t>Uc−Ua=Uca</m:t>
          </m:r>
        </m:oMath>
      </m:oMathPara>
    </w:p>
    <w:bookmarkEnd w:id="30"/>
    <w:p>
      <w:pPr>
        <w:pStyle w:val="3"/>
        <w:spacing w:before="0" w:after="0" w:afterAutospacing="0" w:line="300" w:lineRule="auto"/>
        <w:outlineLvl w:val="1"/>
        <w:rPr>
          <w:rFonts w:ascii="Times New Roman" w:hAnsi="Times New Roman" w:eastAsia="宋体"/>
          <w:sz w:val="28"/>
          <w:szCs w:val="28"/>
        </w:rPr>
      </w:pPr>
      <w:bookmarkStart w:id="31" w:name="_Toc27719"/>
      <w:bookmarkStart w:id="32" w:name="_Toc24512"/>
      <w:bookmarkStart w:id="33" w:name="_Toc426537783"/>
      <w:r>
        <w:rPr>
          <w:rFonts w:ascii="Times New Roman" w:hAnsi="Times New Roman" w:eastAsia="宋体"/>
          <w:sz w:val="28"/>
          <w:szCs w:val="28"/>
        </w:rPr>
        <w:t>2.2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无源滤波器</w:t>
      </w:r>
      <w:r>
        <w:rPr>
          <w:rFonts w:ascii="Times New Roman" w:hAnsi="宋体" w:eastAsia="宋体"/>
          <w:sz w:val="28"/>
          <w:szCs w:val="28"/>
        </w:rPr>
        <w:t>的计算</w:t>
      </w:r>
      <w:bookmarkEnd w:id="31"/>
      <w:bookmarkEnd w:id="32"/>
      <w:bookmarkEnd w:id="33"/>
      <w:r>
        <w:rPr>
          <w:rFonts w:ascii="Times New Roman" w:hAnsi="Times New Roman" w:eastAsia="宋体"/>
          <w:sz w:val="28"/>
          <w:szCs w:val="28"/>
        </w:rPr>
        <w:t xml:space="preserve"> </w:t>
      </w:r>
    </w:p>
    <w:p>
      <w:pPr>
        <w:pStyle w:val="4"/>
        <w:spacing w:before="0" w:after="0" w:line="300" w:lineRule="auto"/>
        <w:rPr>
          <w:rFonts w:hint="eastAsia"/>
          <w:sz w:val="24"/>
          <w:szCs w:val="24"/>
          <w:lang w:val="en-US" w:eastAsia="zh-CN"/>
        </w:rPr>
      </w:pPr>
      <w:bookmarkStart w:id="34" w:name="_Toc426537784"/>
      <w:r>
        <w:rPr>
          <w:sz w:val="24"/>
          <w:szCs w:val="24"/>
        </w:rPr>
        <w:t>（1）</w:t>
      </w:r>
      <w:bookmarkEnd w:id="34"/>
      <w:r>
        <w:rPr>
          <w:rFonts w:hint="eastAsia"/>
          <w:sz w:val="24"/>
          <w:szCs w:val="24"/>
          <w:lang w:val="en-US" w:eastAsia="zh-CN"/>
        </w:rPr>
        <w:t>滤波电感的计算</w:t>
      </w:r>
    </w:p>
    <w:p>
      <w:pPr>
        <w:spacing w:line="300" w:lineRule="auto"/>
        <w:ind w:firstLine="480" w:firstLineChars="2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电感上的压降通常应在额定电压5％以内，根据以下公式计算电感值上界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 w:hAnsi="Cambria Math" w:cs="Cambria Math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1"/>
              <w:lang w:val="en-US" w:eastAsia="zh-CN" w:bidi="ar-SA"/>
            </w:rPr>
            <m:t>L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≤</m:t>
          </m:r>
          <m:f>
            <m:fPr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%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≈1</m:t>
          </m:r>
          <m:r>
            <m:rPr>
              <m:sty m:val="p"/>
            </m:rPr>
            <w:rPr>
              <w:rFonts w:hint="eastAsia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m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H</m:t>
          </m:r>
        </m:oMath>
      </m:oMathPara>
    </w:p>
    <w:p>
      <w:pPr>
        <w:spacing w:line="300" w:lineRule="auto"/>
        <w:ind w:firstLine="480" w:firstLineChars="2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</w:t>
      </w:r>
      <w:r>
        <w:rPr>
          <w:rFonts w:hint="eastAsia" w:eastAsia="宋体"/>
          <w:sz w:val="24"/>
          <w:szCs w:val="24"/>
          <w:lang w:val="en-US" w:eastAsia="zh-CN"/>
        </w:rPr>
        <w:t>最大电感电流纹波为电流最大值的20％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spacing w:line="300" w:lineRule="auto"/>
        <w:ind w:firstLine="480" w:firstLineChars="200"/>
        <w:rPr>
          <w:rFonts w:hint="default" w:hAnsi="Cambria Math" w:eastAsia="宋体"/>
          <w:i w:val="0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/>
              <w:sz w:val="24"/>
              <w:szCs w:val="24"/>
              <w:lang w:val="en-US" w:eastAsia="zh-CN"/>
            </w:rPr>
            <m:t>∆</m:t>
          </m:r>
          <m:sSub>
            <m:sSubPr>
              <m:ctrlPr>
                <w:rPr>
                  <w:rFonts w:hint="eastAsia" w:ascii="Cambria Math" w:hAnsi="Cambria Math" w:eastAsia="宋体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I</m:t>
              </m:r>
              <m:ctrlPr>
                <w:rPr>
                  <w:rFonts w:hint="eastAsia" w:ascii="Cambria Math" w:hAnsi="Cambria Math" w:eastAsia="宋体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MAX</m:t>
              </m:r>
              <m:ctrlPr>
                <w:rPr>
                  <w:rFonts w:hint="eastAsia" w:ascii="Cambria Math" w:hAnsi="Cambria Math" w:eastAsia="宋体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/>
              <w:sz w:val="24"/>
              <w:szCs w:val="24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  <m:t>V</m:t>
                  </m:r>
                  <m:ctrl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  <m:t>DC</m:t>
                  </m:r>
                  <m:ctrl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4L</m:t>
              </m:r>
              <m:sSub>
                <m:sSubPr>
                  <m:ctrl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 w:val="24"/>
                      <w:szCs w:val="24"/>
                      <w:lang w:val="en-US" w:eastAsia="zh-CN"/>
                    </w:rPr>
                    <m:t>f</m:t>
                  </m:r>
                  <m:ctrl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 w:val="24"/>
                      <w:szCs w:val="24"/>
                      <w:lang w:val="en-US" w:eastAsia="zh-CN"/>
                    </w:rPr>
                    <m:t>s</m:t>
                  </m:r>
                  <m:ctrl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=0.2I</m:t>
          </m:r>
          <m:r>
            <m:rPr>
              <m:sty m:val="p"/>
            </m:rPr>
            <w:rPr>
              <w:rFonts w:hint="eastAsia" w:ascii="Cambria Math" w:hAnsi="Cambria Math"/>
              <w:sz w:val="24"/>
              <w:szCs w:val="24"/>
              <w:lang w:val="en-US" w:eastAsia="zh-CN"/>
            </w:rPr>
            <m:t>out</m:t>
          </m:r>
        </m:oMath>
      </m:oMathPara>
    </w:p>
    <w:p>
      <w:pPr>
        <w:spacing w:line="300" w:lineRule="auto"/>
        <w:ind w:firstLine="480" w:firstLineChars="2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可得电感值</w:t>
      </w:r>
      <w:r>
        <w:rPr>
          <w:rFonts w:hint="eastAsia"/>
          <w:sz w:val="24"/>
          <w:szCs w:val="24"/>
          <w:lang w:val="en-US" w:eastAsia="zh-CN"/>
        </w:rPr>
        <w:t>下界</w:t>
      </w:r>
      <w:r>
        <w:rPr>
          <w:rFonts w:hint="eastAsia" w:eastAsia="宋体"/>
          <w:sz w:val="24"/>
          <w:szCs w:val="24"/>
          <w:lang w:val="en-US" w:eastAsia="zh-CN"/>
        </w:rPr>
        <w:t>：</w:t>
      </w:r>
      <m:oMath>
        <m:r>
          <m:rPr>
            <m:sty m:val="p"/>
          </m:rPr>
          <w:rPr>
            <w:rFonts w:hint="default" w:ascii="Cambria Math" w:hAnsi="Cambria Math" w:eastAsia="宋体"/>
            <w:sz w:val="24"/>
            <w:szCs w:val="24"/>
            <w:lang w:val="en-US" w:eastAsia="zh-CN"/>
          </w:rPr>
          <m:t>L≥</m:t>
        </m:r>
        <m:f>
          <m:fPr>
            <m:ctrl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V</m:t>
                </m:r>
                <m:ctrl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DC</m:t>
                </m:r>
                <m:ctrl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  <m:t>4</m:t>
            </m:r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  <w:lang w:val="en-US" w:eastAsia="zh-CN"/>
              </w:rPr>
              <m:t>∆</m:t>
            </m:r>
            <m:sSub>
              <m:sSubPr>
                <m:ctrlPr>
                  <w:rPr>
                    <w:rFonts w:hint="eastAsia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eastAsia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  <w:lang w:val="en-US" w:eastAsia="zh-CN"/>
                  </w:rPr>
                  <m:t>max</m:t>
                </m:r>
                <m:ctrlPr>
                  <w:rPr>
                    <w:rFonts w:hint="eastAsia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sub>
            </m:sSub>
            <m:sSub>
              <m:sSubPr>
                <m:ctrlPr>
                  <w:rPr>
                    <w:rFonts w:hint="eastAsia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  <w:lang w:val="en-US" w:eastAsia="zh-CN"/>
                  </w:rPr>
                  <m:t>f</m:t>
                </m:r>
                <m:ctrlPr>
                  <w:rPr>
                    <w:rFonts w:hint="eastAsia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  <w:lang w:val="en-US" w:eastAsia="zh-CN"/>
                  </w:rPr>
                  <m:t>s</m:t>
                </m:r>
                <m:ctrlPr>
                  <w:rPr>
                    <w:rFonts w:hint="eastAsia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sz w:val="24"/>
            <w:szCs w:val="24"/>
            <w:lang w:val="en-US" w:eastAsia="zh-CN"/>
          </w:rPr>
          <m:t>≈450</m:t>
        </m:r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  <w:lang w:val="en-US" w:eastAsia="zh-CN"/>
          </w:rPr>
          <m:t>u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H</m:t>
        </m:r>
      </m:oMath>
    </w:p>
    <w:p>
      <w:pPr>
        <w:spacing w:line="300" w:lineRule="auto"/>
        <w:ind w:firstLine="480" w:firstLineChars="2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由上述公式推导结果，综合考量</w:t>
      </w:r>
      <w:r>
        <w:rPr>
          <w:rFonts w:hint="eastAsia"/>
          <w:sz w:val="24"/>
          <w:szCs w:val="24"/>
          <w:lang w:val="en-US" w:eastAsia="zh-CN"/>
        </w:rPr>
        <w:t>环路延迟、滤波效果后</w:t>
      </w:r>
      <w:r>
        <w:rPr>
          <w:rFonts w:hint="eastAsia" w:eastAsia="宋体"/>
          <w:sz w:val="24"/>
          <w:szCs w:val="24"/>
          <w:lang w:val="en-US" w:eastAsia="zh-CN"/>
        </w:rPr>
        <w:t>，取滤波电感值为680uH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pStyle w:val="4"/>
        <w:numPr>
          <w:ilvl w:val="0"/>
          <w:numId w:val="1"/>
        </w:numPr>
        <w:spacing w:before="0" w:after="0"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滤波电容的计算</w:t>
      </w:r>
    </w:p>
    <w:p>
      <w:pPr>
        <w:spacing w:line="300" w:lineRule="auto"/>
        <w:ind w:firstLine="480" w:firstLineChars="20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滤波电容通常允许通过无功电流不超过额定值5%，根据以下公式计算电容值上</w:t>
      </w:r>
      <w:r>
        <w:rPr>
          <w:rFonts w:hint="eastAsia"/>
          <w:sz w:val="24"/>
          <w:szCs w:val="24"/>
          <w:lang w:val="en-US" w:eastAsia="zh-CN"/>
        </w:rPr>
        <w:t>界</w:t>
      </w:r>
      <w:r>
        <w:rPr>
          <w:rFonts w:hint="eastAsia" w:eastAsia="宋体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hAnsi="Cambria Math" w:cs="Cambria Math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1"/>
              <w:lang w:val="en-US" w:eastAsia="zh-CN" w:bidi="ar-SA"/>
            </w:rPr>
            <m:t>C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≤</m:t>
          </m:r>
          <m:f>
            <m:fPr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5%I</m:t>
              </m:r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≈3.3</m:t>
          </m:r>
          <m:r>
            <m:rPr>
              <m:sty m:val="p"/>
            </m:rPr>
            <w:rPr>
              <w:rFonts w:hint="eastAsia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u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F</m:t>
          </m:r>
        </m:oMath>
      </m:oMathPara>
    </w:p>
    <w:p>
      <w:pPr>
        <w:spacing w:line="300" w:lineRule="auto"/>
        <w:ind w:firstLine="480" w:firstLineChars="2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电感、电容组成LC滤波电路，取截止频率为fsw/10，fsw为桥臂开关频率。</w:t>
      </w:r>
    </w:p>
    <w:p>
      <w:pPr>
        <w:spacing w:line="300" w:lineRule="auto"/>
        <w:ind w:firstLine="480" w:firstLineChars="200"/>
        <w:jc w:val="center"/>
        <w:rPr>
          <w:rFonts w:hint="default" w:hAnsi="Cambria Math" w:eastAsia="宋体"/>
          <w:i w:val="0"/>
          <w:sz w:val="24"/>
          <w:szCs w:val="24"/>
          <w:lang w:val="en-US" w:eastAsia="zh-CN"/>
        </w:rPr>
      </w:pP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  <w:lang w:val="en-US" w:eastAsia="zh-CN"/>
              </w:rPr>
              <m:t>ω</m:t>
            </m:r>
            <m:ctrlPr>
              <w:rPr>
                <w:rFonts w:hint="eastAsia" w:ascii="Cambria Math" w:hAnsi="Cambria Math" w:eastAsia="宋体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  <m:t>n</m:t>
            </m:r>
            <m:ctrlPr>
              <w:rPr>
                <w:rFonts w:hint="eastAsia" w:ascii="Cambria Math" w:hAnsi="Cambria Math" w:eastAsia="宋体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24"/>
            <w:szCs w:val="24"/>
            <w:lang w:val="en-US" w:eastAsia="zh-CN"/>
          </w:rPr>
          <m:t>=</m:t>
        </m:r>
        <m:rad>
          <m:radPr>
            <m:degHide m:val="1"/>
            <m:ctrl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LC</m:t>
                </m:r>
                <m:ctrl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den>
            </m:f>
            <m:ctrl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/>
            <w:sz w:val="24"/>
            <w:szCs w:val="24"/>
            <w:lang w:val="en-US" w:eastAsia="zh-CN"/>
          </w:rPr>
          <m:t>=2π</m:t>
        </m:r>
        <m:sSub>
          <m:sSubPr>
            <m:ctrl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  <m:t>f</m:t>
            </m:r>
            <m:ctrl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  <m:t>n</m:t>
            </m:r>
            <m:ctrl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eastAsia="宋体"/>
          <w:sz w:val="24"/>
          <w:szCs w:val="24"/>
          <w:lang w:val="en-US" w:eastAsia="zh-CN"/>
        </w:rPr>
        <w:t>,</w:t>
      </w:r>
    </w:p>
    <w:p>
      <w:pPr>
        <w:spacing w:line="300" w:lineRule="auto"/>
        <w:ind w:firstLine="480" w:firstLineChars="200"/>
        <w:rPr>
          <w:rFonts w:hint="default" w:hAnsi="Cambria Math" w:eastAsia="宋体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由上述公式推导结果，综合考量电容耐压、高频滤波效果，选择MKP电容，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容量2uF，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采取三角形连接。</w:t>
      </w:r>
    </w:p>
    <w:p>
      <w:pPr>
        <w:pStyle w:val="3"/>
        <w:spacing w:before="0" w:after="0" w:line="300" w:lineRule="auto"/>
        <w:outlineLvl w:val="1"/>
        <w:rPr>
          <w:rFonts w:ascii="Times New Roman" w:hAnsi="Times New Roman" w:eastAsia="宋体"/>
          <w:sz w:val="28"/>
          <w:szCs w:val="28"/>
        </w:rPr>
      </w:pPr>
      <w:bookmarkStart w:id="35" w:name="_Toc2921"/>
      <w:bookmarkStart w:id="36" w:name="_Toc26386"/>
      <w:bookmarkStart w:id="37" w:name="_Toc426537787"/>
      <w:r>
        <w:rPr>
          <w:rFonts w:ascii="Times New Roman" w:hAnsi="Times New Roman" w:eastAsia="宋体"/>
          <w:sz w:val="28"/>
          <w:szCs w:val="28"/>
        </w:rPr>
        <w:t>2.3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硬件保护动作阈值</w:t>
      </w:r>
      <w:r>
        <w:rPr>
          <w:rFonts w:ascii="Times New Roman" w:hAnsi="宋体" w:eastAsia="宋体"/>
          <w:sz w:val="28"/>
          <w:szCs w:val="28"/>
        </w:rPr>
        <w:t>的计算</w:t>
      </w:r>
      <w:bookmarkEnd w:id="35"/>
      <w:bookmarkEnd w:id="36"/>
      <w:bookmarkEnd w:id="37"/>
      <w:r>
        <w:rPr>
          <w:rFonts w:ascii="Times New Roman" w:hAnsi="Times New Roman" w:eastAsia="宋体"/>
          <w:sz w:val="28"/>
          <w:szCs w:val="28"/>
        </w:rPr>
        <w:t xml:space="preserve">   </w:t>
      </w:r>
    </w:p>
    <w:p>
      <w:pPr>
        <w:pStyle w:val="4"/>
        <w:spacing w:before="0" w:after="0" w:line="300" w:lineRule="auto"/>
        <w:rPr>
          <w:rFonts w:hint="default" w:eastAsia="宋体"/>
          <w:sz w:val="24"/>
          <w:szCs w:val="24"/>
          <w:lang w:val="en-US" w:eastAsia="zh-CN"/>
        </w:rPr>
      </w:pPr>
      <w:bookmarkStart w:id="38" w:name="_Toc426537788"/>
      <w:r>
        <w:rPr>
          <w:sz w:val="24"/>
          <w:szCs w:val="24"/>
        </w:rPr>
        <w:t>（1）</w:t>
      </w:r>
      <w:bookmarkEnd w:id="38"/>
      <w:r>
        <w:rPr>
          <w:rFonts w:hint="eastAsia"/>
          <w:sz w:val="24"/>
          <w:szCs w:val="24"/>
          <w:lang w:val="en-US" w:eastAsia="zh-CN"/>
        </w:rPr>
        <w:t>过流保护阈值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39" w:name="_Toc426537789"/>
      <w:r>
        <w:rPr>
          <w:rFonts w:hint="eastAsia" w:ascii="宋体" w:hAnsi="宋体" w:cs="宋体"/>
          <w:sz w:val="24"/>
          <w:szCs w:val="24"/>
          <w:lang w:val="en-US" w:eastAsia="zh-CN"/>
        </w:rPr>
        <w:t>装置额定输出电路2A，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过流保护阈值设定为2.5A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电流采样选用CC6902SO-5A霍尔电流传感器，400mV/A灵敏度，当电流到达阈值时输出电压1V，分压得信号I_SAMPLE，送至后级由LMV393搭建的窗口比较器，高于比较器上限，产生过流保护信号。</w:t>
      </w:r>
    </w:p>
    <w:p>
      <w:pPr>
        <w:pStyle w:val="4"/>
        <w:spacing w:before="0" w:after="0" w:line="300" w:lineRule="auto"/>
        <w:rPr>
          <w:rFonts w:hint="default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（2）</w:t>
      </w:r>
      <w:bookmarkEnd w:id="39"/>
      <w:r>
        <w:rPr>
          <w:rFonts w:hint="eastAsia"/>
          <w:sz w:val="24"/>
          <w:szCs w:val="24"/>
          <w:lang w:val="en-US" w:eastAsia="zh-CN"/>
        </w:rPr>
        <w:t>过压保护阈值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40" w:name="_Toc42653779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过压保护阈值设定为34V，电压采样采用INA149高共模差分运放，并带有1.5V参考电压，当前级检测电压升至34V，经过1/31分压输入INA149，输出2.6V信号V_SAMPLE，送至后级由LMV393搭建的窗口比较器，高于比较器设定上限，产生过压保护信号。</w:t>
      </w:r>
    </w:p>
    <w:p>
      <w:pPr>
        <w:pStyle w:val="2"/>
        <w:spacing w:before="0" w:after="0" w:line="300" w:lineRule="auto"/>
        <w:rPr>
          <w:sz w:val="28"/>
          <w:szCs w:val="28"/>
        </w:rPr>
      </w:pPr>
      <w:bookmarkStart w:id="41" w:name="_Toc7467"/>
      <w:bookmarkStart w:id="42" w:name="_Toc17987"/>
      <w:r>
        <w:rPr>
          <w:rFonts w:hint="eastAsia"/>
          <w:sz w:val="28"/>
          <w:szCs w:val="28"/>
        </w:rPr>
        <w:t>三、硬件</w:t>
      </w:r>
      <w:r>
        <w:rPr>
          <w:sz w:val="28"/>
          <w:szCs w:val="28"/>
        </w:rPr>
        <w:t>电路与程序设计</w:t>
      </w:r>
      <w:bookmarkEnd w:id="40"/>
      <w:bookmarkEnd w:id="41"/>
      <w:bookmarkEnd w:id="42"/>
    </w:p>
    <w:p>
      <w:pPr>
        <w:pStyle w:val="3"/>
        <w:spacing w:before="0" w:after="0" w:line="300" w:lineRule="auto"/>
        <w:outlineLvl w:val="1"/>
        <w:rPr>
          <w:rFonts w:ascii="Times New Roman" w:hAnsi="Times New Roman" w:eastAsia="宋体"/>
          <w:sz w:val="28"/>
          <w:szCs w:val="28"/>
        </w:rPr>
      </w:pPr>
      <w:bookmarkStart w:id="43" w:name="_Toc426537792"/>
      <w:bookmarkStart w:id="44" w:name="_Toc21858"/>
      <w:bookmarkStart w:id="45" w:name="_Toc25455"/>
      <w:r>
        <w:rPr>
          <w:rFonts w:ascii="Times New Roman" w:hAnsi="Times New Roman" w:eastAsia="宋体"/>
          <w:sz w:val="28"/>
          <w:szCs w:val="28"/>
        </w:rPr>
        <w:t>3.1</w:t>
      </w:r>
      <w:r>
        <w:rPr>
          <w:rFonts w:hint="eastAsia" w:ascii="Times New Roman" w:hAnsi="Times New Roman" w:eastAsia="宋体"/>
          <w:sz w:val="28"/>
          <w:szCs w:val="28"/>
        </w:rPr>
        <w:t xml:space="preserve"> 硬件</w:t>
      </w:r>
      <w:r>
        <w:rPr>
          <w:rFonts w:ascii="Times New Roman" w:hAnsi="宋体" w:eastAsia="宋体"/>
          <w:sz w:val="28"/>
          <w:szCs w:val="28"/>
        </w:rPr>
        <w:t>电路设计</w:t>
      </w:r>
      <w:bookmarkEnd w:id="43"/>
      <w:bookmarkEnd w:id="44"/>
      <w:bookmarkEnd w:id="45"/>
    </w:p>
    <w:p>
      <w:pPr>
        <w:pStyle w:val="4"/>
        <w:spacing w:before="0" w:after="0" w:line="300" w:lineRule="auto"/>
        <w:rPr>
          <w:sz w:val="24"/>
          <w:szCs w:val="24"/>
        </w:rPr>
      </w:pPr>
      <w:bookmarkStart w:id="46" w:name="_Toc426537794"/>
      <w:r>
        <w:rPr>
          <w:sz w:val="24"/>
          <w:szCs w:val="24"/>
        </w:rPr>
        <w:t>（1）</w:t>
      </w:r>
      <w:r>
        <w:rPr>
          <w:rFonts w:hint="eastAsia"/>
          <w:sz w:val="24"/>
          <w:szCs w:val="24"/>
          <w:lang w:val="en-US" w:eastAsia="zh-CN"/>
        </w:rPr>
        <w:t>功率拓扑</w:t>
      </w:r>
      <w:r>
        <w:rPr>
          <w:rFonts w:hAnsi="宋体"/>
          <w:sz w:val="24"/>
          <w:szCs w:val="24"/>
        </w:rPr>
        <w:t>框图</w:t>
      </w:r>
      <w:bookmarkEnd w:id="46"/>
    </w:p>
    <w:p>
      <w:pPr>
        <w:spacing w:line="300" w:lineRule="auto"/>
        <w:ind w:firstLine="537" w:firstLineChars="224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变流器1与变流器2均采用三相全桥拓扑，连接单元包括空气开关及共模电感。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空气开关用于切换电阻负载、变流器2；共模电感用于抑制载波环流。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功率拓扑框图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、主回路原理图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如下。</w:t>
      </w:r>
    </w:p>
    <w:p>
      <w:pPr>
        <w:spacing w:line="300" w:lineRule="auto"/>
        <w:ind w:firstLine="470" w:firstLineChars="224"/>
        <w:jc w:val="center"/>
        <w:rPr>
          <w:sz w:val="24"/>
          <w:szCs w:val="24"/>
        </w:rPr>
      </w:pPr>
      <w:r>
        <w:drawing>
          <wp:inline distT="0" distB="0" distL="114300" distR="114300">
            <wp:extent cx="5844540" cy="2178685"/>
            <wp:effectExtent l="0" t="0" r="10160" b="5715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rcRect l="12852" t="19871" r="18191" b="28189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70" w:firstLineChars="224"/>
        <w:jc w:val="center"/>
        <w:rPr>
          <w:rFonts w:hAnsi="宋体"/>
        </w:rPr>
      </w:pPr>
      <w:r>
        <w:rPr>
          <w:rFonts w:hAnsi="宋体"/>
        </w:rPr>
        <w:t>图</w:t>
      </w:r>
      <w:r>
        <w:rPr>
          <w:rFonts w:hint="eastAsia" w:hAnsi="宋体"/>
          <w:lang w:val="en-US" w:eastAsia="zh-CN"/>
        </w:rPr>
        <w:t>2</w:t>
      </w:r>
      <w:r>
        <w:t xml:space="preserve">   </w:t>
      </w:r>
      <w:r>
        <w:rPr>
          <w:rFonts w:hint="eastAsia"/>
          <w:lang w:val="en-US" w:eastAsia="zh-CN"/>
        </w:rPr>
        <w:t>功率拓扑</w:t>
      </w:r>
      <w:r>
        <w:rPr>
          <w:rFonts w:hAnsi="宋体"/>
        </w:rPr>
        <w:t>子系统框图</w:t>
      </w:r>
    </w:p>
    <w:p>
      <w:pPr>
        <w:spacing w:line="300" w:lineRule="auto"/>
        <w:ind w:firstLine="470" w:firstLineChars="224"/>
        <w:jc w:val="center"/>
      </w:pPr>
      <w:r>
        <w:drawing>
          <wp:inline distT="0" distB="0" distL="114300" distR="114300">
            <wp:extent cx="5748655" cy="2076450"/>
            <wp:effectExtent l="0" t="0" r="4445" b="635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70" w:firstLineChars="224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图3 三相全桥电路原理图</w:t>
      </w:r>
    </w:p>
    <w:p>
      <w:pPr>
        <w:spacing w:line="300" w:lineRule="auto"/>
        <w:ind w:firstLine="470" w:firstLineChars="224"/>
        <w:jc w:val="center"/>
      </w:pPr>
      <w:r>
        <w:drawing>
          <wp:inline distT="0" distB="0" distL="114300" distR="114300">
            <wp:extent cx="5819775" cy="1471295"/>
            <wp:effectExtent l="0" t="0" r="9525" b="19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70" w:firstLineChars="224"/>
        <w:jc w:val="center"/>
        <w:rPr>
          <w:sz w:val="24"/>
          <w:szCs w:val="24"/>
        </w:rPr>
      </w:pPr>
      <w:r>
        <w:rPr>
          <w:rFonts w:hint="eastAsia"/>
          <w:lang w:val="en-US" w:eastAsia="zh-CN"/>
        </w:rPr>
        <w:t>图4 无源滤波模块原理图</w:t>
      </w:r>
      <w:bookmarkStart w:id="47" w:name="_Toc426537795"/>
    </w:p>
    <w:p>
      <w:pPr>
        <w:pStyle w:val="4"/>
        <w:spacing w:before="0" w:after="0" w:line="300" w:lineRule="auto"/>
        <w:rPr>
          <w:sz w:val="24"/>
          <w:szCs w:val="24"/>
        </w:rPr>
      </w:pPr>
      <w:r>
        <w:rPr>
          <w:sz w:val="24"/>
          <w:szCs w:val="24"/>
        </w:rPr>
        <w:t>（2）</w:t>
      </w:r>
      <w:r>
        <w:rPr>
          <w:rFonts w:hint="eastAsia"/>
          <w:sz w:val="24"/>
          <w:szCs w:val="24"/>
          <w:lang w:val="en-US" w:eastAsia="zh-CN"/>
        </w:rPr>
        <w:t>采样</w:t>
      </w:r>
      <w:r>
        <w:rPr>
          <w:rFonts w:hAnsi="宋体"/>
          <w:sz w:val="24"/>
          <w:szCs w:val="24"/>
        </w:rPr>
        <w:t>子系统</w:t>
      </w:r>
      <w:r>
        <w:rPr>
          <w:rFonts w:hint="eastAsia" w:hAnsi="宋体"/>
          <w:sz w:val="24"/>
          <w:szCs w:val="24"/>
          <w:lang w:val="en-US" w:eastAsia="zh-CN"/>
        </w:rPr>
        <w:t>框图与</w:t>
      </w:r>
      <w:r>
        <w:rPr>
          <w:rFonts w:hAnsi="宋体"/>
          <w:sz w:val="24"/>
          <w:szCs w:val="24"/>
        </w:rPr>
        <w:t>电路原理图</w:t>
      </w:r>
      <w:bookmarkEnd w:id="4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采样子系统电路图如下。</w:t>
      </w:r>
    </w:p>
    <w:p>
      <w:pPr>
        <w:spacing w:line="300" w:lineRule="auto"/>
        <w:ind w:firstLine="470" w:firstLineChars="224"/>
        <w:jc w:val="center"/>
        <w:rPr>
          <w:sz w:val="24"/>
          <w:szCs w:val="24"/>
        </w:rPr>
      </w:pPr>
      <w:r>
        <w:drawing>
          <wp:inline distT="0" distB="0" distL="114300" distR="114300">
            <wp:extent cx="4628515" cy="3385820"/>
            <wp:effectExtent l="0" t="0" r="6985" b="5080"/>
            <wp:docPr id="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/>
                    <pic:cNvPicPr>
                      <a:picLocks noChangeAspect="1"/>
                    </pic:cNvPicPr>
                  </pic:nvPicPr>
                  <pic:blipFill>
                    <a:blip r:embed="rId12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70" w:firstLineChars="224"/>
        <w:jc w:val="center"/>
        <w:rPr>
          <w:rFonts w:hint="eastAsia" w:hAnsi="宋体" w:eastAsia="宋体"/>
          <w:lang w:val="en-US" w:eastAsia="zh-CN"/>
        </w:rPr>
      </w:pPr>
      <w:r>
        <w:rPr>
          <w:rFonts w:hAnsi="宋体"/>
        </w:rPr>
        <w:t>图</w:t>
      </w:r>
      <w:r>
        <w:rPr>
          <w:rFonts w:hint="eastAsia" w:hAnsi="宋体"/>
          <w:lang w:val="en-US" w:eastAsia="zh-CN"/>
        </w:rPr>
        <w:t>5</w:t>
      </w:r>
      <w:r>
        <w:t xml:space="preserve">  </w:t>
      </w:r>
      <w:r>
        <w:rPr>
          <w:rFonts w:hint="eastAsia"/>
          <w:lang w:val="en-US" w:eastAsia="zh-CN"/>
        </w:rPr>
        <w:t>采样</w:t>
      </w:r>
      <w:r>
        <w:rPr>
          <w:rFonts w:hAnsi="宋体"/>
        </w:rPr>
        <w:t>子系统电路</w:t>
      </w:r>
      <w:r>
        <w:rPr>
          <w:rFonts w:hint="eastAsia" w:hAnsi="宋体"/>
          <w:lang w:val="en-US" w:eastAsia="zh-CN"/>
        </w:rPr>
        <w:t>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逆变输出为浮地输出，需要隔离的电压电流采样方式。综合上文所述，采用高共模差分运放INA149作为电压采样方式，CC6902霍尔电流传感器作为电流传感方式。偏置由基准源产生。信号经过RC低通滤除50Hz分量后作为参考信号，送至比较器TLV3202负端实现过零比较。这种方式的优点是对偏置变化不敏感，在偏置干扰大时仍可产生占空比0.5的方波，作为硬件锁相信号。采样反馈信号经过窗口比较器，产生硬件保护信号，送至DSP内的TZ模块，用于实现硬件过流、过压保护。</w:t>
      </w:r>
    </w:p>
    <w:p>
      <w:pPr>
        <w:pStyle w:val="3"/>
        <w:spacing w:before="0" w:after="0" w:line="300" w:lineRule="auto"/>
        <w:outlineLvl w:val="1"/>
        <w:rPr>
          <w:rFonts w:ascii="Times New Roman" w:hAnsi="Times New Roman" w:eastAsia="宋体"/>
          <w:sz w:val="28"/>
          <w:szCs w:val="28"/>
        </w:rPr>
      </w:pPr>
      <w:bookmarkStart w:id="48" w:name="_Toc3387"/>
      <w:bookmarkStart w:id="49" w:name="_Toc426537797"/>
      <w:bookmarkStart w:id="50" w:name="_Toc29548"/>
      <w:r>
        <w:rPr>
          <w:rFonts w:ascii="Times New Roman" w:hAnsi="Times New Roman" w:eastAsia="宋体"/>
          <w:sz w:val="28"/>
          <w:szCs w:val="28"/>
        </w:rPr>
        <w:t>3.2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ascii="Times New Roman" w:hAnsi="宋体" w:eastAsia="宋体"/>
          <w:sz w:val="28"/>
          <w:szCs w:val="28"/>
        </w:rPr>
        <w:t>程序设计</w:t>
      </w:r>
      <w:bookmarkEnd w:id="48"/>
      <w:bookmarkEnd w:id="49"/>
      <w:bookmarkEnd w:id="50"/>
    </w:p>
    <w:p>
      <w:pPr>
        <w:pStyle w:val="4"/>
        <w:spacing w:before="0" w:after="0" w:line="300" w:lineRule="auto"/>
        <w:rPr>
          <w:sz w:val="24"/>
          <w:szCs w:val="24"/>
        </w:rPr>
      </w:pPr>
      <w:bookmarkStart w:id="51" w:name="_Toc426537798"/>
      <w:r>
        <w:rPr>
          <w:sz w:val="24"/>
          <w:szCs w:val="24"/>
        </w:rPr>
        <w:t>（1）</w:t>
      </w:r>
      <w:r>
        <w:rPr>
          <w:rFonts w:hAnsi="宋体"/>
          <w:sz w:val="24"/>
          <w:szCs w:val="24"/>
        </w:rPr>
        <w:t>程序功能描述与设计思路</w:t>
      </w:r>
      <w:bookmarkEnd w:id="5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1、程序功能描述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根据题目要求，软件部分主要实现按键驱动、屏幕显示、数据更新、环路计算与发波。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1）按键部分：设置频率、电压、电流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、工作模式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2）显示部分：显示频率、电压、电流、故障状态。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3）环路部分：全数字化控制环路，根据采样值完成环路计算，更新占空比。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4）保护部分：通过DSP内的TripZone模块接收外部故障信号，硬件关断PWM。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2、程序设计思路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为保障核心的环路中断不被打断，将环路置于ADC中断内，剩余功能均放于主函数完成。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主函数内完成人机交互功能。通过存储当前按键值与上一次循环的按键值，提取按键下降沿作为触发信号，修改对应数值。在频率发生变化时，重新计算QPR差分方程系数，完成调频功能。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C中断内完成环路计算。通过ePWM触发ADC采样，优化系统时序。ADC完成采样转换后进入ADC中断，确保环路输入为当前周期内ADC采样值。在周期末尾装载比较值，更新占空比，减少由单周期内占空比多次改变导致的输出抖动。</w:t>
      </w:r>
    </w:p>
    <w:p>
      <w:pPr>
        <w:pStyle w:val="4"/>
        <w:spacing w:before="0" w:after="0" w:line="300" w:lineRule="auto"/>
        <w:rPr>
          <w:sz w:val="24"/>
          <w:szCs w:val="24"/>
        </w:rPr>
      </w:pPr>
      <w:bookmarkStart w:id="52" w:name="_Toc426537799"/>
      <w:r>
        <w:rPr>
          <w:sz w:val="24"/>
          <w:szCs w:val="24"/>
        </w:rPr>
        <w:t>（2）</w:t>
      </w:r>
      <w:r>
        <w:rPr>
          <w:rFonts w:hAnsi="宋体"/>
          <w:sz w:val="24"/>
          <w:szCs w:val="24"/>
        </w:rPr>
        <w:t>程序流程图</w:t>
      </w:r>
      <w:bookmarkEnd w:id="52"/>
    </w:p>
    <w:p>
      <w:pPr>
        <w:spacing w:line="300" w:lineRule="auto"/>
        <w:ind w:firstLine="537" w:firstLineChars="224"/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334010</wp:posOffset>
            </wp:positionH>
            <wp:positionV relativeFrom="paragraph">
              <wp:posOffset>82550</wp:posOffset>
            </wp:positionV>
            <wp:extent cx="2489200" cy="3641090"/>
            <wp:effectExtent l="0" t="0" r="0" b="3810"/>
            <wp:wrapSquare wrapText="bothSides"/>
            <wp:docPr id="4" name="图片 8" descr="D:/NUEDC/25A-report/25报告.emf25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D:/NUEDC/25A-report/25报告.emf25报告"/>
                    <pic:cNvPicPr>
                      <a:picLocks noChangeAspect="1"/>
                    </pic:cNvPicPr>
                  </pic:nvPicPr>
                  <pic:blipFill>
                    <a:blip r:embed="rId13"/>
                    <a:srcRect t="11" b="11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/>
          <w:sz w:val="24"/>
          <w:szCs w:val="24"/>
          <w:lang w:eastAsia="zh-CN"/>
        </w:rPr>
        <w:drawing>
          <wp:inline distT="0" distB="0" distL="114300" distR="114300">
            <wp:extent cx="1241425" cy="3677285"/>
            <wp:effectExtent l="0" t="0" r="3175" b="5715"/>
            <wp:docPr id="5" name="图片 7" descr="D:/NUEDC/25A-report/25报告.emf25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D:/NUEDC/25A-report/25报告.emf25报告"/>
                    <pic:cNvPicPr>
                      <a:picLocks noChangeAspect="1"/>
                    </pic:cNvPicPr>
                  </pic:nvPicPr>
                  <pic:blipFill>
                    <a:blip r:embed="rId14"/>
                    <a:srcRect l="23" r="23"/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70" w:firstLineChars="224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图6  程序流程图</w:t>
      </w:r>
    </w:p>
    <w:p>
      <w:pPr>
        <w:pStyle w:val="2"/>
        <w:spacing w:before="0" w:after="0" w:line="300" w:lineRule="auto"/>
        <w:rPr>
          <w:sz w:val="28"/>
          <w:szCs w:val="28"/>
        </w:rPr>
      </w:pPr>
      <w:bookmarkStart w:id="53" w:name="_Toc426537800"/>
      <w:bookmarkStart w:id="54" w:name="_Toc683"/>
      <w:bookmarkStart w:id="55" w:name="_Toc16747"/>
      <w:r>
        <w:rPr>
          <w:rFonts w:hint="eastAsia"/>
          <w:sz w:val="28"/>
          <w:szCs w:val="28"/>
        </w:rPr>
        <w:t>四、</w:t>
      </w:r>
      <w:r>
        <w:rPr>
          <w:sz w:val="28"/>
          <w:szCs w:val="28"/>
        </w:rPr>
        <w:t>测试方案与结果</w:t>
      </w:r>
      <w:bookmarkEnd w:id="53"/>
      <w:r>
        <w:rPr>
          <w:rFonts w:hint="eastAsia"/>
          <w:sz w:val="28"/>
          <w:szCs w:val="28"/>
        </w:rPr>
        <w:t>分析</w:t>
      </w:r>
      <w:bookmarkEnd w:id="54"/>
      <w:bookmarkEnd w:id="55"/>
    </w:p>
    <w:p>
      <w:pPr>
        <w:pStyle w:val="3"/>
        <w:spacing w:before="0" w:after="0" w:line="300" w:lineRule="auto"/>
        <w:outlineLvl w:val="1"/>
        <w:rPr>
          <w:rFonts w:ascii="Times New Roman" w:hAnsi="Times New Roman" w:eastAsia="宋体"/>
          <w:sz w:val="28"/>
          <w:szCs w:val="28"/>
        </w:rPr>
      </w:pPr>
      <w:bookmarkStart w:id="56" w:name="_Toc8325"/>
      <w:bookmarkStart w:id="57" w:name="_Toc426537801"/>
      <w:bookmarkStart w:id="58" w:name="_Toc30610"/>
      <w:r>
        <w:rPr>
          <w:rFonts w:ascii="Times New Roman" w:hAnsi="Times New Roman" w:eastAsia="宋体"/>
          <w:sz w:val="28"/>
          <w:szCs w:val="28"/>
        </w:rPr>
        <w:t>4.1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ascii="Times New Roman" w:hAnsi="宋体" w:eastAsia="宋体"/>
          <w:sz w:val="28"/>
          <w:szCs w:val="28"/>
        </w:rPr>
        <w:t>测试方案</w:t>
      </w:r>
      <w:bookmarkEnd w:id="56"/>
      <w:bookmarkEnd w:id="57"/>
      <w:bookmarkEnd w:id="5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（1）硬件测试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通过直流电源的串联模式，输出确定直流电压、电流，检测采样模块、片内ADC采样以及错误信号状态。单片机ePWM模块SPWM调制，检测三相全桥模块输出，确保无缺相、错序。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（2）软件仿真测试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利用Matlab中Simulink工具箱，对变流器开关模型、控制环路进行仿真与参数的预调试，确保变流器控制环路稳定，响应速率高，环路带宽适宜。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（3）硬件软件联调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烧写程序，根据实际波形，微调电流环、电压环控制系数。确保输出电流电压无静差、畸变小，波形无震荡，控制环路稳定可靠。</w:t>
      </w:r>
    </w:p>
    <w:p>
      <w:pPr>
        <w:pStyle w:val="3"/>
        <w:spacing w:before="0" w:after="0" w:line="300" w:lineRule="auto"/>
        <w:outlineLvl w:val="1"/>
        <w:rPr>
          <w:rFonts w:ascii="Times New Roman" w:hAnsi="Times New Roman" w:eastAsia="宋体"/>
          <w:sz w:val="28"/>
          <w:szCs w:val="28"/>
        </w:rPr>
      </w:pPr>
      <w:bookmarkStart w:id="59" w:name="_Toc26282"/>
      <w:bookmarkStart w:id="60" w:name="_Toc3367"/>
      <w:bookmarkStart w:id="61" w:name="_Toc426537802"/>
      <w:r>
        <w:rPr>
          <w:rFonts w:ascii="Times New Roman" w:hAnsi="Times New Roman" w:eastAsia="宋体"/>
          <w:sz w:val="28"/>
          <w:szCs w:val="28"/>
        </w:rPr>
        <w:t>4.2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ascii="Times New Roman" w:hAnsi="宋体" w:eastAsia="宋体"/>
          <w:sz w:val="28"/>
          <w:szCs w:val="28"/>
        </w:rPr>
        <w:t>测试条件与仪器</w:t>
      </w:r>
      <w:bookmarkEnd w:id="59"/>
      <w:bookmarkEnd w:id="60"/>
      <w:bookmarkEnd w:id="6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测试条件：检查多次，硬件焊点无虚焊，软件仿真运行正常，输出无静差。三相逆变器、三相PWM整流器在独立开环情况下均可正常运行。逆变器带载输出正常，整流器能量反馈正常。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测试仪器：两通道直流电源</w:t>
      </w:r>
      <w:r>
        <w:rPr>
          <w:rFonts w:hint="eastAsia" w:ascii="宋体" w:hAnsi="宋体" w:cs="宋体"/>
          <w:sz w:val="24"/>
          <w:szCs w:val="24"/>
          <w:lang w:val="en-US" w:eastAsia="zh-CN"/>
        </w:rPr>
        <w:t>SPD3303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、五位半数字万用表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SDM3055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、双通道示波器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SDS2352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、三相功率分析仪</w:t>
      </w:r>
      <w:r>
        <w:rPr>
          <w:rFonts w:hint="eastAsia" w:ascii="宋体" w:hAnsi="宋体" w:cs="宋体"/>
          <w:sz w:val="24"/>
          <w:szCs w:val="24"/>
          <w:lang w:val="en-US" w:eastAsia="zh-CN"/>
        </w:rPr>
        <w:t>PA333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pStyle w:val="3"/>
        <w:spacing w:before="0" w:after="0" w:line="300" w:lineRule="auto"/>
        <w:outlineLvl w:val="1"/>
        <w:rPr>
          <w:rFonts w:ascii="Times New Roman" w:hAnsi="Times New Roman" w:eastAsia="宋体"/>
          <w:sz w:val="28"/>
          <w:szCs w:val="28"/>
        </w:rPr>
      </w:pPr>
      <w:bookmarkStart w:id="62" w:name="_Toc426537803"/>
      <w:bookmarkStart w:id="63" w:name="_Toc1965"/>
      <w:bookmarkStart w:id="64" w:name="_Toc14818"/>
      <w:r>
        <w:rPr>
          <w:rFonts w:ascii="Times New Roman" w:hAnsi="Times New Roman" w:eastAsia="宋体"/>
          <w:sz w:val="28"/>
          <w:szCs w:val="28"/>
        </w:rPr>
        <w:t>4.3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ascii="Times New Roman" w:hAnsi="宋体" w:eastAsia="宋体"/>
          <w:sz w:val="28"/>
          <w:szCs w:val="28"/>
        </w:rPr>
        <w:t>测试结果及分析</w:t>
      </w:r>
      <w:bookmarkEnd w:id="62"/>
      <w:bookmarkEnd w:id="63"/>
      <w:bookmarkEnd w:id="64"/>
    </w:p>
    <w:p>
      <w:pPr>
        <w:pStyle w:val="4"/>
        <w:spacing w:before="0" w:after="0" w:line="300" w:lineRule="auto"/>
        <w:rPr>
          <w:rFonts w:hAnsi="宋体"/>
          <w:sz w:val="24"/>
          <w:szCs w:val="24"/>
        </w:rPr>
      </w:pPr>
      <w:bookmarkStart w:id="65" w:name="_Toc426537804"/>
      <w:r>
        <w:rPr>
          <w:sz w:val="24"/>
          <w:szCs w:val="24"/>
        </w:rPr>
        <w:t>（1）</w:t>
      </w:r>
      <w:r>
        <w:rPr>
          <w:rFonts w:hAnsi="宋体"/>
          <w:sz w:val="24"/>
          <w:szCs w:val="24"/>
        </w:rPr>
        <w:t>测试结果</w:t>
      </w:r>
      <w:bookmarkEnd w:id="65"/>
      <w:r>
        <w:rPr>
          <w:sz w:val="24"/>
          <w:szCs w:val="24"/>
        </w:rPr>
        <w:t xml:space="preserve">                      </w:t>
      </w:r>
    </w:p>
    <w:p>
      <w:pPr>
        <w:spacing w:line="300" w:lineRule="auto"/>
        <w:ind w:firstLine="470" w:firstLineChars="224"/>
        <w:jc w:val="center"/>
        <w:rPr>
          <w:rFonts w:hint="default"/>
          <w:lang w:val="en-US"/>
        </w:rPr>
      </w:pPr>
      <w:r>
        <w:rPr>
          <w:rFonts w:hint="eastAsia"/>
        </w:rPr>
        <w:t>表1</w:t>
      </w:r>
      <w:r>
        <w:t xml:space="preserve">  </w:t>
      </w:r>
      <w:r>
        <w:rPr>
          <w:rFonts w:hint="eastAsia"/>
          <w:lang w:val="en-US" w:eastAsia="zh-CN"/>
        </w:rPr>
        <w:t>三相逆变器输出电压测试结果</w:t>
      </w:r>
    </w:p>
    <w:tbl>
      <w:tblPr>
        <w:tblStyle w:val="1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1161"/>
        <w:gridCol w:w="1326"/>
        <w:gridCol w:w="1326"/>
        <w:gridCol w:w="1326"/>
        <w:gridCol w:w="132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02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Ansi="宋体"/>
              </w:rPr>
            </w:pPr>
            <w:r>
              <w:rPr>
                <w:rFonts w:hint="eastAsia" w:hAnsi="宋体"/>
                <w:lang w:val="en-US" w:eastAsia="zh-CN"/>
              </w:rPr>
              <w:t>电压/V</w:t>
            </w:r>
          </w:p>
        </w:tc>
        <w:tc>
          <w:tcPr>
            <w:tcW w:w="625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32.01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32.00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31.98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31.96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31.97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02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电流/A</w:t>
            </w:r>
          </w:p>
        </w:tc>
        <w:tc>
          <w:tcPr>
            <w:tcW w:w="625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0.52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1.01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1.53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2.01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02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uTHD/%</w:t>
            </w:r>
          </w:p>
        </w:tc>
        <w:tc>
          <w:tcPr>
            <w:tcW w:w="625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0.31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0.35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0.36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0.42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0.43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0.47</w:t>
            </w:r>
          </w:p>
        </w:tc>
      </w:tr>
    </w:tbl>
    <w:p>
      <w:pPr>
        <w:spacing w:line="300" w:lineRule="auto"/>
        <w:ind w:firstLine="470" w:firstLineChars="224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表2 能量回馈效率测试</w:t>
      </w:r>
    </w:p>
    <w:tbl>
      <w:tblPr>
        <w:tblStyle w:val="1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548"/>
        <w:gridCol w:w="1548"/>
        <w:gridCol w:w="1548"/>
        <w:gridCol w:w="1548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31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电压/V</w:t>
            </w:r>
          </w:p>
        </w:tc>
        <w:tc>
          <w:tcPr>
            <w:tcW w:w="833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32.03</w:t>
            </w:r>
          </w:p>
        </w:tc>
        <w:tc>
          <w:tcPr>
            <w:tcW w:w="833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32.01</w:t>
            </w:r>
          </w:p>
        </w:tc>
        <w:tc>
          <w:tcPr>
            <w:tcW w:w="833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32.01</w:t>
            </w:r>
          </w:p>
        </w:tc>
        <w:tc>
          <w:tcPr>
            <w:tcW w:w="833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32.00</w:t>
            </w:r>
          </w:p>
        </w:tc>
        <w:tc>
          <w:tcPr>
            <w:tcW w:w="833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31.95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31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电流/A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0.50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1.03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1.52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2.03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31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效率/%</w:t>
            </w:r>
          </w:p>
        </w:tc>
        <w:tc>
          <w:tcPr>
            <w:tcW w:w="833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91.01</w:t>
            </w:r>
          </w:p>
        </w:tc>
        <w:tc>
          <w:tcPr>
            <w:tcW w:w="833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91.50</w:t>
            </w:r>
          </w:p>
        </w:tc>
        <w:tc>
          <w:tcPr>
            <w:tcW w:w="833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92.10</w:t>
            </w:r>
          </w:p>
        </w:tc>
        <w:tc>
          <w:tcPr>
            <w:tcW w:w="833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92.79</w:t>
            </w:r>
          </w:p>
        </w:tc>
        <w:tc>
          <w:tcPr>
            <w:tcW w:w="833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92.85</w:t>
            </w:r>
          </w:p>
        </w:tc>
      </w:tr>
    </w:tbl>
    <w:p>
      <w:pPr>
        <w:pStyle w:val="4"/>
        <w:spacing w:before="0" w:after="0" w:line="300" w:lineRule="auto"/>
        <w:rPr>
          <w:sz w:val="24"/>
          <w:szCs w:val="24"/>
        </w:rPr>
      </w:pPr>
      <w:bookmarkStart w:id="66" w:name="_Toc426537805"/>
      <w:r>
        <w:rPr>
          <w:sz w:val="24"/>
          <w:szCs w:val="24"/>
        </w:rPr>
        <w:t>（2）</w:t>
      </w:r>
      <w:r>
        <w:rPr>
          <w:rFonts w:hAnsi="宋体"/>
          <w:sz w:val="24"/>
          <w:szCs w:val="24"/>
        </w:rPr>
        <w:t>测试分析与结论</w:t>
      </w:r>
      <w:bookmarkEnd w:id="6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根据上述测试数据，由此可以得出以下结论：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1、逆变器输出正常，谐波含量低，输出值无静差。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2、整流器功率回馈正常，输入电流谐波含量低，系统损耗较小。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综上所述，本设计达到设计要求。</w:t>
      </w:r>
    </w:p>
    <w:p>
      <w:pPr>
        <w:pStyle w:val="2"/>
        <w:numPr>
          <w:ilvl w:val="0"/>
          <w:numId w:val="2"/>
        </w:numPr>
        <w:spacing w:before="0" w:after="0" w:line="300" w:lineRule="auto"/>
        <w:rPr>
          <w:rFonts w:hint="eastAsia"/>
          <w:sz w:val="28"/>
          <w:szCs w:val="28"/>
        </w:rPr>
      </w:pPr>
      <w:bookmarkStart w:id="67" w:name="_Toc19517"/>
      <w:bookmarkStart w:id="68" w:name="_Toc12527"/>
      <w:bookmarkStart w:id="69" w:name="_Toc426537807"/>
      <w:r>
        <w:rPr>
          <w:rFonts w:hint="eastAsia"/>
          <w:sz w:val="28"/>
          <w:szCs w:val="28"/>
        </w:rPr>
        <w:t>总结</w:t>
      </w:r>
      <w:bookmarkEnd w:id="67"/>
      <w:bookmarkEnd w:id="6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本装置以三相全桥逆变器、三相PWM整流器为核心拓扑，以准比例-谐振控制为核心控制手段，搭建一套带有能量回馈功能的变流器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负载试验</w:t>
      </w:r>
      <w:bookmarkStart w:id="70" w:name="_GoBack"/>
      <w:bookmarkEnd w:id="7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装置。通过准比例-谐振控制方法、SPWM调制方式，实现了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被试变流器与能量回馈装置的控制。输出谐波含量小，无静差，回馈效率高，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控制环路稳定不自激，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达到题目基本要求。</w:t>
      </w:r>
      <w:bookmarkEnd w:id="69"/>
    </w:p>
    <w:sectPr>
      <w:footerReference r:id="rId5" w:type="default"/>
      <w:pgSz w:w="11906" w:h="16838"/>
      <w:pgMar w:top="1701" w:right="1418" w:bottom="1418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</w:p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separate"/>
    </w:r>
    <w:r>
      <w:fldChar w:fldCharType="end"/>
    </w:r>
  </w:p>
  <w:p>
    <w:pPr>
      <w:pStyle w:val="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3</w:t>
    </w:r>
    <w:r>
      <w:fldChar w:fldCharType="end"/>
    </w:r>
  </w:p>
  <w:p>
    <w:pPr>
      <w:pStyle w:val="7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D6CB7"/>
    <w:multiLevelType w:val="singleLevel"/>
    <w:tmpl w:val="804D6CB7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1C77C87"/>
    <w:multiLevelType w:val="singleLevel"/>
    <w:tmpl w:val="A1C77C8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0MTliOTU4ZWFmZjlmMTIwOGM2MGVlOGQ0NjY2ZjQifQ=="/>
  </w:docVars>
  <w:rsids>
    <w:rsidRoot w:val="00172A27"/>
    <w:rsid w:val="0006210E"/>
    <w:rsid w:val="000633AF"/>
    <w:rsid w:val="001B31D1"/>
    <w:rsid w:val="001E051A"/>
    <w:rsid w:val="001E1D46"/>
    <w:rsid w:val="001F7B19"/>
    <w:rsid w:val="00201612"/>
    <w:rsid w:val="00206CE8"/>
    <w:rsid w:val="00210916"/>
    <w:rsid w:val="002404AB"/>
    <w:rsid w:val="0026516B"/>
    <w:rsid w:val="002870DA"/>
    <w:rsid w:val="00297DE5"/>
    <w:rsid w:val="00425F81"/>
    <w:rsid w:val="00436CAC"/>
    <w:rsid w:val="005033B7"/>
    <w:rsid w:val="005356A3"/>
    <w:rsid w:val="005B5947"/>
    <w:rsid w:val="005C1764"/>
    <w:rsid w:val="005E791F"/>
    <w:rsid w:val="00607465"/>
    <w:rsid w:val="00761AB9"/>
    <w:rsid w:val="008950FD"/>
    <w:rsid w:val="00917EFA"/>
    <w:rsid w:val="00927379"/>
    <w:rsid w:val="009C12A6"/>
    <w:rsid w:val="00A24B22"/>
    <w:rsid w:val="00A54CF2"/>
    <w:rsid w:val="00AC3E9E"/>
    <w:rsid w:val="00AD4A8C"/>
    <w:rsid w:val="00AD7D76"/>
    <w:rsid w:val="00AE6C90"/>
    <w:rsid w:val="00AF679F"/>
    <w:rsid w:val="00B423FF"/>
    <w:rsid w:val="00B81467"/>
    <w:rsid w:val="00B87E79"/>
    <w:rsid w:val="00C13381"/>
    <w:rsid w:val="00CB0C52"/>
    <w:rsid w:val="00D50097"/>
    <w:rsid w:val="00D522B5"/>
    <w:rsid w:val="00D610AF"/>
    <w:rsid w:val="00D64AE1"/>
    <w:rsid w:val="00D746C3"/>
    <w:rsid w:val="00E34468"/>
    <w:rsid w:val="00E4683E"/>
    <w:rsid w:val="00E62206"/>
    <w:rsid w:val="00E93C66"/>
    <w:rsid w:val="00ED0D19"/>
    <w:rsid w:val="00F46DD1"/>
    <w:rsid w:val="00FA155B"/>
    <w:rsid w:val="01105490"/>
    <w:rsid w:val="0180792C"/>
    <w:rsid w:val="01D46B46"/>
    <w:rsid w:val="01E50E42"/>
    <w:rsid w:val="01F3521E"/>
    <w:rsid w:val="02B83DF9"/>
    <w:rsid w:val="02B96468"/>
    <w:rsid w:val="02F96864"/>
    <w:rsid w:val="03BE360A"/>
    <w:rsid w:val="03CF2E8F"/>
    <w:rsid w:val="0411627E"/>
    <w:rsid w:val="041D4120"/>
    <w:rsid w:val="0549261D"/>
    <w:rsid w:val="05600E1D"/>
    <w:rsid w:val="05686161"/>
    <w:rsid w:val="059258A4"/>
    <w:rsid w:val="05A76A07"/>
    <w:rsid w:val="05F03512"/>
    <w:rsid w:val="06640499"/>
    <w:rsid w:val="06C61CFD"/>
    <w:rsid w:val="06C7237C"/>
    <w:rsid w:val="07E21FBD"/>
    <w:rsid w:val="082500FC"/>
    <w:rsid w:val="097F1A8E"/>
    <w:rsid w:val="09870118"/>
    <w:rsid w:val="0B266420"/>
    <w:rsid w:val="0B425F77"/>
    <w:rsid w:val="0B7423F7"/>
    <w:rsid w:val="0B7D19CE"/>
    <w:rsid w:val="0B8161DB"/>
    <w:rsid w:val="0BA965B8"/>
    <w:rsid w:val="0CDB522D"/>
    <w:rsid w:val="0CE31B8F"/>
    <w:rsid w:val="0D4032E2"/>
    <w:rsid w:val="0D620449"/>
    <w:rsid w:val="0E0E058B"/>
    <w:rsid w:val="0E2F3890"/>
    <w:rsid w:val="0E3270CE"/>
    <w:rsid w:val="0E9C1898"/>
    <w:rsid w:val="0EEC3721"/>
    <w:rsid w:val="0F0171A1"/>
    <w:rsid w:val="0F722F35"/>
    <w:rsid w:val="10967DE9"/>
    <w:rsid w:val="10DF5A9C"/>
    <w:rsid w:val="113C41EF"/>
    <w:rsid w:val="115630D4"/>
    <w:rsid w:val="126E1C66"/>
    <w:rsid w:val="127952CC"/>
    <w:rsid w:val="13545054"/>
    <w:rsid w:val="13A76816"/>
    <w:rsid w:val="13D53F68"/>
    <w:rsid w:val="1444796F"/>
    <w:rsid w:val="147E306D"/>
    <w:rsid w:val="14E83C4D"/>
    <w:rsid w:val="15082937"/>
    <w:rsid w:val="151031B2"/>
    <w:rsid w:val="156E2C1E"/>
    <w:rsid w:val="15BA3B52"/>
    <w:rsid w:val="16013F56"/>
    <w:rsid w:val="16520DC4"/>
    <w:rsid w:val="16AD4D5E"/>
    <w:rsid w:val="16C84EDA"/>
    <w:rsid w:val="16C90228"/>
    <w:rsid w:val="178A3AD0"/>
    <w:rsid w:val="17F65FE6"/>
    <w:rsid w:val="182126BC"/>
    <w:rsid w:val="183C4A1B"/>
    <w:rsid w:val="18D55226"/>
    <w:rsid w:val="192A5A56"/>
    <w:rsid w:val="19CF7EC7"/>
    <w:rsid w:val="19D102D8"/>
    <w:rsid w:val="1AA31529"/>
    <w:rsid w:val="1B411B3F"/>
    <w:rsid w:val="1B542D7A"/>
    <w:rsid w:val="1BB35E28"/>
    <w:rsid w:val="1BF12377"/>
    <w:rsid w:val="1C182F73"/>
    <w:rsid w:val="1C7001A9"/>
    <w:rsid w:val="1C7B7E93"/>
    <w:rsid w:val="1D0401AE"/>
    <w:rsid w:val="1D3F7112"/>
    <w:rsid w:val="1E320F02"/>
    <w:rsid w:val="1EB15DEE"/>
    <w:rsid w:val="1FFE67E5"/>
    <w:rsid w:val="20642787"/>
    <w:rsid w:val="20DA67BD"/>
    <w:rsid w:val="213157F9"/>
    <w:rsid w:val="21664110"/>
    <w:rsid w:val="22151401"/>
    <w:rsid w:val="22464225"/>
    <w:rsid w:val="224C71B0"/>
    <w:rsid w:val="224D0F01"/>
    <w:rsid w:val="22C54955"/>
    <w:rsid w:val="238807DB"/>
    <w:rsid w:val="2441492B"/>
    <w:rsid w:val="246170B5"/>
    <w:rsid w:val="24B403E6"/>
    <w:rsid w:val="24DD4983"/>
    <w:rsid w:val="24DE6EEF"/>
    <w:rsid w:val="2503311B"/>
    <w:rsid w:val="250A6EE2"/>
    <w:rsid w:val="250F386E"/>
    <w:rsid w:val="256A4F48"/>
    <w:rsid w:val="258A3C4D"/>
    <w:rsid w:val="25CE54D7"/>
    <w:rsid w:val="25FC3885"/>
    <w:rsid w:val="26EC030B"/>
    <w:rsid w:val="272730F1"/>
    <w:rsid w:val="27B046F4"/>
    <w:rsid w:val="281A0EA7"/>
    <w:rsid w:val="28237433"/>
    <w:rsid w:val="28A10C81"/>
    <w:rsid w:val="28C03E21"/>
    <w:rsid w:val="29934A6D"/>
    <w:rsid w:val="29AB614E"/>
    <w:rsid w:val="29D05CC2"/>
    <w:rsid w:val="29F52FCD"/>
    <w:rsid w:val="2A6401B8"/>
    <w:rsid w:val="2ACB5DC9"/>
    <w:rsid w:val="2B004E97"/>
    <w:rsid w:val="2B567211"/>
    <w:rsid w:val="2B7547DA"/>
    <w:rsid w:val="2BAC62BA"/>
    <w:rsid w:val="2BB94533"/>
    <w:rsid w:val="2BBE7D9C"/>
    <w:rsid w:val="2BC058C2"/>
    <w:rsid w:val="2CC30472"/>
    <w:rsid w:val="2CCF2C2D"/>
    <w:rsid w:val="2D382ECE"/>
    <w:rsid w:val="2E4E18AB"/>
    <w:rsid w:val="2E513149"/>
    <w:rsid w:val="2ECE6FBC"/>
    <w:rsid w:val="2ED95618"/>
    <w:rsid w:val="2EE63891"/>
    <w:rsid w:val="2EF92BB8"/>
    <w:rsid w:val="2F2F6623"/>
    <w:rsid w:val="301B55E3"/>
    <w:rsid w:val="30735EF7"/>
    <w:rsid w:val="30955F0C"/>
    <w:rsid w:val="30B359F5"/>
    <w:rsid w:val="310B6367"/>
    <w:rsid w:val="31175F84"/>
    <w:rsid w:val="31736C24"/>
    <w:rsid w:val="31A56934"/>
    <w:rsid w:val="329D4BAF"/>
    <w:rsid w:val="32C64902"/>
    <w:rsid w:val="32D72122"/>
    <w:rsid w:val="32DD180C"/>
    <w:rsid w:val="32EC0DE4"/>
    <w:rsid w:val="3301513E"/>
    <w:rsid w:val="34B51D60"/>
    <w:rsid w:val="352549E8"/>
    <w:rsid w:val="35474E36"/>
    <w:rsid w:val="35615F36"/>
    <w:rsid w:val="35C846A2"/>
    <w:rsid w:val="36030042"/>
    <w:rsid w:val="363471F4"/>
    <w:rsid w:val="367B5207"/>
    <w:rsid w:val="36904C6B"/>
    <w:rsid w:val="369C4360"/>
    <w:rsid w:val="36E032BC"/>
    <w:rsid w:val="376E7E98"/>
    <w:rsid w:val="37AA2DE4"/>
    <w:rsid w:val="37BC728A"/>
    <w:rsid w:val="380134EA"/>
    <w:rsid w:val="38271BE0"/>
    <w:rsid w:val="38584681"/>
    <w:rsid w:val="399E2B89"/>
    <w:rsid w:val="39B70758"/>
    <w:rsid w:val="39C26CA9"/>
    <w:rsid w:val="3A52627F"/>
    <w:rsid w:val="3AA2694C"/>
    <w:rsid w:val="3AAF36D1"/>
    <w:rsid w:val="3AE13F03"/>
    <w:rsid w:val="3AF027DF"/>
    <w:rsid w:val="3D3305EA"/>
    <w:rsid w:val="3D9A6BDB"/>
    <w:rsid w:val="3DA75DE3"/>
    <w:rsid w:val="3DB91FAA"/>
    <w:rsid w:val="3DCA12D1"/>
    <w:rsid w:val="3EA868ED"/>
    <w:rsid w:val="3EAC29A7"/>
    <w:rsid w:val="3F2E0725"/>
    <w:rsid w:val="3F8205BE"/>
    <w:rsid w:val="402A4F95"/>
    <w:rsid w:val="404E304C"/>
    <w:rsid w:val="40F400FF"/>
    <w:rsid w:val="415C79E3"/>
    <w:rsid w:val="42721EA8"/>
    <w:rsid w:val="428C42F8"/>
    <w:rsid w:val="43343BC0"/>
    <w:rsid w:val="43D60DB0"/>
    <w:rsid w:val="44250560"/>
    <w:rsid w:val="444A3B37"/>
    <w:rsid w:val="444A69BD"/>
    <w:rsid w:val="44782D86"/>
    <w:rsid w:val="44EA5EFA"/>
    <w:rsid w:val="45381E15"/>
    <w:rsid w:val="454602C7"/>
    <w:rsid w:val="45D54711"/>
    <w:rsid w:val="47073A00"/>
    <w:rsid w:val="470F0232"/>
    <w:rsid w:val="471274C2"/>
    <w:rsid w:val="47286582"/>
    <w:rsid w:val="473037F9"/>
    <w:rsid w:val="475F6D07"/>
    <w:rsid w:val="47C12AC5"/>
    <w:rsid w:val="47D20EE6"/>
    <w:rsid w:val="482B7781"/>
    <w:rsid w:val="485326BA"/>
    <w:rsid w:val="487B5669"/>
    <w:rsid w:val="48A835F4"/>
    <w:rsid w:val="49276CE5"/>
    <w:rsid w:val="497A134E"/>
    <w:rsid w:val="49E862B8"/>
    <w:rsid w:val="4B6C7931"/>
    <w:rsid w:val="4B8677CF"/>
    <w:rsid w:val="4C021DCA"/>
    <w:rsid w:val="4C0A2E51"/>
    <w:rsid w:val="4C5E6D05"/>
    <w:rsid w:val="4CCA6149"/>
    <w:rsid w:val="4D565697"/>
    <w:rsid w:val="4D61085B"/>
    <w:rsid w:val="4DD1386F"/>
    <w:rsid w:val="4DD97EC3"/>
    <w:rsid w:val="4DE002F0"/>
    <w:rsid w:val="4DF9693D"/>
    <w:rsid w:val="4E037A39"/>
    <w:rsid w:val="4E0F02B7"/>
    <w:rsid w:val="4E7A455F"/>
    <w:rsid w:val="4E7B5A93"/>
    <w:rsid w:val="4E810A89"/>
    <w:rsid w:val="4EAD5D22"/>
    <w:rsid w:val="4F212EC5"/>
    <w:rsid w:val="4FF07507"/>
    <w:rsid w:val="50AE63AE"/>
    <w:rsid w:val="50E36F44"/>
    <w:rsid w:val="50F639B0"/>
    <w:rsid w:val="50F80318"/>
    <w:rsid w:val="50F96FFC"/>
    <w:rsid w:val="51143E36"/>
    <w:rsid w:val="51E25CE3"/>
    <w:rsid w:val="51F8682E"/>
    <w:rsid w:val="527D7845"/>
    <w:rsid w:val="53493493"/>
    <w:rsid w:val="53BB4A3D"/>
    <w:rsid w:val="53C27FEC"/>
    <w:rsid w:val="54C16083"/>
    <w:rsid w:val="54D93F05"/>
    <w:rsid w:val="550A63E5"/>
    <w:rsid w:val="553E3B94"/>
    <w:rsid w:val="55615CD2"/>
    <w:rsid w:val="558F4F6B"/>
    <w:rsid w:val="560A0C6B"/>
    <w:rsid w:val="563E4D27"/>
    <w:rsid w:val="565114C6"/>
    <w:rsid w:val="56A10441"/>
    <w:rsid w:val="56E81305"/>
    <w:rsid w:val="570B033B"/>
    <w:rsid w:val="589826E0"/>
    <w:rsid w:val="58DC529A"/>
    <w:rsid w:val="5919023C"/>
    <w:rsid w:val="59C0294B"/>
    <w:rsid w:val="59DD5217"/>
    <w:rsid w:val="59E36A9C"/>
    <w:rsid w:val="5AA75A9A"/>
    <w:rsid w:val="5AA8569F"/>
    <w:rsid w:val="5B9D6EA2"/>
    <w:rsid w:val="5BF52E6A"/>
    <w:rsid w:val="5C1A18C6"/>
    <w:rsid w:val="5C7026BF"/>
    <w:rsid w:val="5DA02187"/>
    <w:rsid w:val="5DC45A64"/>
    <w:rsid w:val="5E6C4315"/>
    <w:rsid w:val="5E997DCB"/>
    <w:rsid w:val="5EEA5E68"/>
    <w:rsid w:val="5F324C8B"/>
    <w:rsid w:val="5FC47211"/>
    <w:rsid w:val="5FEB74C9"/>
    <w:rsid w:val="60A154ED"/>
    <w:rsid w:val="60EE0956"/>
    <w:rsid w:val="616B1851"/>
    <w:rsid w:val="617A6407"/>
    <w:rsid w:val="61900695"/>
    <w:rsid w:val="61B93F46"/>
    <w:rsid w:val="6220088D"/>
    <w:rsid w:val="62453E59"/>
    <w:rsid w:val="62F824A4"/>
    <w:rsid w:val="63186AB1"/>
    <w:rsid w:val="63533905"/>
    <w:rsid w:val="63BF7C32"/>
    <w:rsid w:val="64255730"/>
    <w:rsid w:val="645540D8"/>
    <w:rsid w:val="645A64FF"/>
    <w:rsid w:val="647B50BF"/>
    <w:rsid w:val="64D27AA8"/>
    <w:rsid w:val="64DD0CB7"/>
    <w:rsid w:val="64F9337E"/>
    <w:rsid w:val="653308D7"/>
    <w:rsid w:val="6557369D"/>
    <w:rsid w:val="6558210B"/>
    <w:rsid w:val="656B0629"/>
    <w:rsid w:val="65841133"/>
    <w:rsid w:val="65B01F28"/>
    <w:rsid w:val="66024622"/>
    <w:rsid w:val="66266FB4"/>
    <w:rsid w:val="663F6FF2"/>
    <w:rsid w:val="66463A7E"/>
    <w:rsid w:val="66B43779"/>
    <w:rsid w:val="66BB10BA"/>
    <w:rsid w:val="678E6299"/>
    <w:rsid w:val="679965A2"/>
    <w:rsid w:val="686941F4"/>
    <w:rsid w:val="68953657"/>
    <w:rsid w:val="68AA7191"/>
    <w:rsid w:val="690F01CE"/>
    <w:rsid w:val="690F552F"/>
    <w:rsid w:val="6AD37E00"/>
    <w:rsid w:val="6B032B8A"/>
    <w:rsid w:val="6B056872"/>
    <w:rsid w:val="6B343CBB"/>
    <w:rsid w:val="6B362ECF"/>
    <w:rsid w:val="6B686E01"/>
    <w:rsid w:val="6B9971FE"/>
    <w:rsid w:val="6BE95C1D"/>
    <w:rsid w:val="6C2E197A"/>
    <w:rsid w:val="6D68758C"/>
    <w:rsid w:val="6D6F117E"/>
    <w:rsid w:val="6D77332B"/>
    <w:rsid w:val="6E0A20F0"/>
    <w:rsid w:val="6E453355"/>
    <w:rsid w:val="6E6B10E2"/>
    <w:rsid w:val="6EB5235D"/>
    <w:rsid w:val="6EFA1E2F"/>
    <w:rsid w:val="6F8E7975"/>
    <w:rsid w:val="6FC04040"/>
    <w:rsid w:val="700C06A3"/>
    <w:rsid w:val="704E73AD"/>
    <w:rsid w:val="70E51AFB"/>
    <w:rsid w:val="710B6BAC"/>
    <w:rsid w:val="71461992"/>
    <w:rsid w:val="71500A63"/>
    <w:rsid w:val="7156148C"/>
    <w:rsid w:val="72440D8F"/>
    <w:rsid w:val="72642DBE"/>
    <w:rsid w:val="72AA2393"/>
    <w:rsid w:val="739F538A"/>
    <w:rsid w:val="73B52DFF"/>
    <w:rsid w:val="73C5294B"/>
    <w:rsid w:val="7443040B"/>
    <w:rsid w:val="74E93A1B"/>
    <w:rsid w:val="75162ADD"/>
    <w:rsid w:val="75B10ACA"/>
    <w:rsid w:val="76032465"/>
    <w:rsid w:val="76402E54"/>
    <w:rsid w:val="766108D3"/>
    <w:rsid w:val="773C6076"/>
    <w:rsid w:val="77955421"/>
    <w:rsid w:val="78034139"/>
    <w:rsid w:val="782A0CD4"/>
    <w:rsid w:val="785628A3"/>
    <w:rsid w:val="787231A8"/>
    <w:rsid w:val="788223D4"/>
    <w:rsid w:val="78B26538"/>
    <w:rsid w:val="790538BB"/>
    <w:rsid w:val="793842B6"/>
    <w:rsid w:val="79930A94"/>
    <w:rsid w:val="7B08219D"/>
    <w:rsid w:val="7B2E5971"/>
    <w:rsid w:val="7B37732A"/>
    <w:rsid w:val="7B552B2C"/>
    <w:rsid w:val="7B6C7D53"/>
    <w:rsid w:val="7BBC3EC2"/>
    <w:rsid w:val="7BC106CB"/>
    <w:rsid w:val="7BD302C6"/>
    <w:rsid w:val="7BE47D7F"/>
    <w:rsid w:val="7C52159C"/>
    <w:rsid w:val="7C6D5E14"/>
    <w:rsid w:val="7C923F3A"/>
    <w:rsid w:val="7CB01953"/>
    <w:rsid w:val="7CC12815"/>
    <w:rsid w:val="7CCF4F32"/>
    <w:rsid w:val="7CDC41CA"/>
    <w:rsid w:val="7CED360A"/>
    <w:rsid w:val="7D277E21"/>
    <w:rsid w:val="7D537911"/>
    <w:rsid w:val="7D820927"/>
    <w:rsid w:val="7DB87774"/>
    <w:rsid w:val="7E5C0484"/>
    <w:rsid w:val="7ECE75B2"/>
    <w:rsid w:val="7F3D2627"/>
    <w:rsid w:val="7F517E80"/>
    <w:rsid w:val="7F9D30C5"/>
    <w:rsid w:val="7FE963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1" w:name="index 1"/>
    <w:lsdException w:uiPriority="1" w:name="index 2"/>
    <w:lsdException w:uiPriority="1" w:name="index 3"/>
    <w:lsdException w:uiPriority="1" w:name="index 4"/>
    <w:lsdException w:uiPriority="1" w:name="index 5"/>
    <w:lsdException w:uiPriority="1" w:name="index 6"/>
    <w:lsdException w:uiPriority="1" w:name="index 7"/>
    <w:lsdException w:uiPriority="1" w:name="index 8"/>
    <w:lsdException w:uiPriority="1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iPriority="1" w:name="toc 4"/>
    <w:lsdException w:uiPriority="1" w:name="toc 5"/>
    <w:lsdException w:uiPriority="1" w:name="toc 6"/>
    <w:lsdException w:uiPriority="1" w:name="toc 7"/>
    <w:lsdException w:uiPriority="1" w:name="toc 8"/>
    <w:lsdException w:uiPriority="1" w:name="toc 9"/>
    <w:lsdException w:uiPriority="1" w:name="Normal Indent"/>
    <w:lsdException w:uiPriority="1" w:name="footnote text"/>
    <w:lsdException w:uiPriority="1" w:name="annotation text"/>
    <w:lsdException w:unhideWhenUsed="0" w:uiPriority="0" w:semiHidden="0" w:name="header"/>
    <w:lsdException w:qFormat="1" w:unhideWhenUsed="0" w:uiPriority="99" w:semiHidden="0" w:name="footer"/>
    <w:lsdException w:uiPriority="1" w:name="index heading"/>
    <w:lsdException w:qFormat="1" w:uiPriority="1" w:name="caption"/>
    <w:lsdException w:uiPriority="1" w:name="table of figures"/>
    <w:lsdException w:uiPriority="1" w:name="envelope address"/>
    <w:lsdException w:uiPriority="1" w:name="envelope return"/>
    <w:lsdException w:uiPriority="1" w:name="footnote reference"/>
    <w:lsdException w:uiPriority="1" w:name="annotation reference"/>
    <w:lsdException w:uiPriority="1" w:name="line number"/>
    <w:lsdException w:qFormat="1" w:unhideWhenUsed="0" w:uiPriority="0" w:semiHidden="0" w:name="page number"/>
    <w:lsdException w:uiPriority="1" w:name="endnote reference"/>
    <w:lsdException w:uiPriority="1" w:name="endnote text"/>
    <w:lsdException w:uiPriority="1" w:name="table of authorities"/>
    <w:lsdException w:uiPriority="1" w:name="macro"/>
    <w:lsdException w:uiPriority="1" w:name="toa heading"/>
    <w:lsdException w:uiPriority="1" w:name="List"/>
    <w:lsdException w:uiPriority="1" w:name="List Bullet"/>
    <w:lsdException w:uiPriority="1" w:name="List Number"/>
    <w:lsdException w:uiPriority="1" w:name="List 2"/>
    <w:lsdException w:uiPriority="1" w:name="List 3"/>
    <w:lsdException w:uiPriority="1" w:name="List 4"/>
    <w:lsdException w:uiPriority="1" w:name="List 5"/>
    <w:lsdException w:uiPriority="1" w:name="List Bullet 2"/>
    <w:lsdException w:uiPriority="1" w:name="List Bullet 3"/>
    <w:lsdException w:uiPriority="1" w:name="List Bullet 4"/>
    <w:lsdException w:uiPriority="1" w:name="List Bullet 5"/>
    <w:lsdException w:uiPriority="1" w:name="List Number 2"/>
    <w:lsdException w:uiPriority="1" w:name="List Number 3"/>
    <w:lsdException w:uiPriority="1" w:name="List Number 4"/>
    <w:lsdException w:uiPriority="1" w:name="List Number 5"/>
    <w:lsdException w:qFormat="1" w:unhideWhenUsed="0" w:uiPriority="1" w:semiHidden="0" w:name="Title"/>
    <w:lsdException w:uiPriority="1" w:name="Closing"/>
    <w:lsdException w:uiPriority="1" w:name="Signature"/>
    <w:lsdException w:unhideWhenUsed="0" w:uiPriority="0" w:semiHidden="0" w:name="Default Paragraph Font"/>
    <w:lsdException w:uiPriority="1" w:name="Body Text"/>
    <w:lsdException w:uiPriority="1" w:name="Body Text Indent"/>
    <w:lsdException w:uiPriority="1" w:name="List Continue"/>
    <w:lsdException w:uiPriority="1" w:name="List Continue 2"/>
    <w:lsdException w:uiPriority="1" w:name="List Continue 3"/>
    <w:lsdException w:uiPriority="1" w:name="List Continue 4"/>
    <w:lsdException w:uiPriority="1" w:name="List Continue 5"/>
    <w:lsdException w:uiPriority="1" w:name="Message Header"/>
    <w:lsdException w:qFormat="1" w:unhideWhenUsed="0" w:uiPriority="1" w:semiHidden="0" w:name="Subtitle"/>
    <w:lsdException w:uiPriority="1" w:name="Salutation"/>
    <w:lsdException w:unhideWhenUsed="0" w:uiPriority="0" w:semiHidden="0" w:name="Date"/>
    <w:lsdException w:uiPriority="1" w:name="Body Text First Indent"/>
    <w:lsdException w:uiPriority="1" w:name="Body Text First Indent 2"/>
    <w:lsdException w:uiPriority="1" w:name="Note Heading"/>
    <w:lsdException w:uiPriority="1" w:name="Body Text 2"/>
    <w:lsdException w:uiPriority="1" w:name="Body Text 3"/>
    <w:lsdException w:uiPriority="1" w:name="Body Text Indent 2"/>
    <w:lsdException w:uiPriority="1" w:name="Body Text Indent 3"/>
    <w:lsdException w:uiPriority="1" w:name="Block Text"/>
    <w:lsdException w:unhideWhenUsed="0" w:uiPriority="99" w:semiHidden="0" w:name="Hyperlink"/>
    <w:lsdException w:uiPriority="1" w:name="FollowedHyperlink"/>
    <w:lsdException w:qFormat="1" w:unhideWhenUsed="0" w:uiPriority="1" w:semiHidden="0" w:name="Strong"/>
    <w:lsdException w:qFormat="1" w:unhideWhenUsed="0" w:uiPriority="1" w:semiHidden="0" w:name="Emphasis"/>
    <w:lsdException w:uiPriority="1" w:name="Document Map"/>
    <w:lsdException w:uiPriority="1" w:name="Plain Text"/>
    <w:lsdException w:uiPriority="1" w:name="E-mail Signature"/>
    <w:lsdException w:uiPriority="99" w:semiHidden="0" w:name="Normal (Web)"/>
    <w:lsdException w:uiPriority="1" w:name="HTML Acronym"/>
    <w:lsdException w:uiPriority="1" w:name="HTML Address"/>
    <w:lsdException w:uiPriority="1" w:name="HTML Cite"/>
    <w:lsdException w:uiPriority="1" w:name="HTML Code"/>
    <w:lsdException w:uiPriority="1" w:name="HTML Definition"/>
    <w:lsdException w:uiPriority="1" w:name="HTML Keyboard"/>
    <w:lsdException w:uiPriority="1" w:name="HTML Preformatted"/>
    <w:lsdException w:uiPriority="1" w:name="HTML Sample"/>
    <w:lsdException w:uiPriority="1" w:name="HTML Typewriter"/>
    <w:lsdException w:uiPriority="1" w:name="HTML Variable"/>
    <w:lsdException w:uiPriority="99" w:semiHidden="0" w:name="Normal Table"/>
    <w:lsdException w:uiPriority="1" w:name="annotation subject"/>
    <w:lsdException w:uiPriority="1" w:name="Table Simple 1"/>
    <w:lsdException w:uiPriority="1" w:name="Table Simple 2"/>
    <w:lsdException w:uiPriority="1" w:name="Table Simple 3"/>
    <w:lsdException w:uiPriority="1" w:name="Table Classic 1"/>
    <w:lsdException w:uiPriority="1" w:name="Table Classic 2"/>
    <w:lsdException w:uiPriority="1" w:name="Table Classic 3"/>
    <w:lsdException w:uiPriority="1" w:name="Table Classic 4"/>
    <w:lsdException w:uiPriority="1" w:name="Table Colorful 1"/>
    <w:lsdException w:uiPriority="1" w:name="Table Colorful 2"/>
    <w:lsdException w:uiPriority="1" w:name="Table Colorful 3"/>
    <w:lsdException w:uiPriority="1" w:name="Table Columns 1"/>
    <w:lsdException w:uiPriority="1" w:name="Table Columns 2"/>
    <w:lsdException w:uiPriority="1" w:name="Table Columns 3"/>
    <w:lsdException w:uiPriority="1" w:name="Table Columns 4"/>
    <w:lsdException w:uiPriority="1" w:name="Table Columns 5"/>
    <w:lsdException w:uiPriority="1" w:name="Table Grid 1"/>
    <w:lsdException w:uiPriority="1" w:name="Table Grid 2"/>
    <w:lsdException w:uiPriority="1" w:name="Table Grid 3"/>
    <w:lsdException w:uiPriority="1" w:name="Table Grid 4"/>
    <w:lsdException w:uiPriority="1" w:name="Table Grid 5"/>
    <w:lsdException w:uiPriority="1" w:name="Table Grid 6"/>
    <w:lsdException w:uiPriority="1" w:name="Table Grid 7"/>
    <w:lsdException w:uiPriority="1" w:name="Table Grid 8"/>
    <w:lsdException w:uiPriority="1" w:name="Table List 1"/>
    <w:lsdException w:uiPriority="1" w:name="Table List 2"/>
    <w:lsdException w:uiPriority="1" w:name="Table List 3"/>
    <w:lsdException w:uiPriority="1" w:name="Table List 4"/>
    <w:lsdException w:uiPriority="1" w:name="Table List 5"/>
    <w:lsdException w:uiPriority="1" w:name="Table List 6"/>
    <w:lsdException w:uiPriority="1" w:name="Table List 7"/>
    <w:lsdException w:uiPriority="1" w:name="Table List 8"/>
    <w:lsdException w:uiPriority="1" w:name="Table 3D effects 1"/>
    <w:lsdException w:uiPriority="1" w:name="Table 3D effects 2"/>
    <w:lsdException w:uiPriority="1" w:name="Table 3D effects 3"/>
    <w:lsdException w:uiPriority="1" w:name="Table Contemporary"/>
    <w:lsdException w:uiPriority="1" w:name="Table Elegant"/>
    <w:lsdException w:uiPriority="1" w:name="Table Professional"/>
    <w:lsdException w:uiPriority="1" w:name="Table Subtle 1"/>
    <w:lsdException w:uiPriority="1" w:name="Table Subtle 2"/>
    <w:lsdException w:uiPriority="1" w:name="Table Web 1"/>
    <w:lsdException w:uiPriority="1" w:name="Table Web 2"/>
    <w:lsdException w:uiPriority="1" w:name="Table Web 3"/>
    <w:lsdException w:uiPriority="1" w:name="Balloon Text"/>
    <w:lsdException w:unhideWhenUsed="0" w:uiPriority="1" w:semiHidden="0" w:name="Table Grid"/>
    <w:lsdException w:uiPriority="1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iPriority w:val="0"/>
  </w:style>
  <w:style w:type="table" w:default="1" w:styleId="1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39"/>
    <w:pPr>
      <w:ind w:left="840" w:leftChars="400"/>
    </w:pPr>
  </w:style>
  <w:style w:type="paragraph" w:styleId="6">
    <w:name w:val="Date"/>
    <w:basedOn w:val="1"/>
    <w:next w:val="1"/>
    <w:uiPriority w:val="0"/>
    <w:pPr>
      <w:ind w:left="100" w:leftChars="2500"/>
    </w:pPr>
  </w:style>
  <w:style w:type="paragraph" w:styleId="7">
    <w:name w:val="footer"/>
    <w:basedOn w:val="1"/>
    <w:link w:val="17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39"/>
    <w:pPr>
      <w:tabs>
        <w:tab w:val="right" w:leader="dot" w:pos="8296"/>
      </w:tabs>
    </w:pPr>
    <w:rPr>
      <w:rFonts w:ascii="宋体" w:hAnsi="宋体"/>
    </w:rPr>
  </w:style>
  <w:style w:type="paragraph" w:styleId="10">
    <w:name w:val="toc 2"/>
    <w:basedOn w:val="1"/>
    <w:next w:val="1"/>
    <w:autoRedefine/>
    <w:qFormat/>
    <w:uiPriority w:val="39"/>
    <w:pPr>
      <w:ind w:left="420" w:leftChars="200"/>
    </w:pPr>
  </w:style>
  <w:style w:type="paragraph" w:styleId="11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3">
    <w:name w:val="Table Grid"/>
    <w:basedOn w:val="12"/>
    <w:uiPriority w:val="1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autoRedefine/>
    <w:qFormat/>
    <w:uiPriority w:val="0"/>
  </w:style>
  <w:style w:type="character" w:styleId="16">
    <w:name w:val="Hyperlink"/>
    <w:autoRedefine/>
    <w:uiPriority w:val="99"/>
    <w:rPr>
      <w:color w:val="0000FF"/>
      <w:u w:val="single"/>
    </w:rPr>
  </w:style>
  <w:style w:type="character" w:customStyle="1" w:styleId="17">
    <w:name w:val="页脚 字符"/>
    <w:link w:val="7"/>
    <w:uiPriority w:val="99"/>
    <w:rPr>
      <w:kern w:val="2"/>
      <w:sz w:val="18"/>
      <w:szCs w:val="18"/>
    </w:rPr>
  </w:style>
  <w:style w:type="paragraph" w:customStyle="1" w:styleId="18">
    <w:name w:val="_Style 17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 w:cs="Times New Roman"/>
      <w:b w:val="0"/>
      <w:bCs w:val="0"/>
      <w:color w:val="2E74B5"/>
      <w:kern w:val="0"/>
      <w:sz w:val="32"/>
      <w:szCs w:val="32"/>
    </w:rPr>
  </w:style>
  <w:style w:type="paragraph" w:customStyle="1" w:styleId="1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2"/>
    <w:autoRedefine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image" Target="media/image2.emf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8.emf"/><Relationship Id="rId13" Type="http://schemas.openxmlformats.org/officeDocument/2006/relationships/image" Target="media/image7.emf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jujumao</Company>
  <Pages>11</Pages>
  <Words>2750</Words>
  <Characters>3141</Characters>
  <Lines>13</Lines>
  <Paragraphs>3</Paragraphs>
  <TotalTime>1</TotalTime>
  <ScaleCrop>false</ScaleCrop>
  <LinksUpToDate>false</LinksUpToDate>
  <CharactersWithSpaces>3230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2022-07-28T13:56:00Z</dcterms:created>
  <dc:creator>USER</dc:creator>
  <cp:lastModifiedBy>毛晨镔</cp:lastModifiedBy>
  <dcterms:modified xsi:type="dcterms:W3CDTF">2025-08-02T02:35:19Z</dcterms:modified>
  <dc:title>2009年全国大学生电子设计竞赛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E6F6E722911B4D13AD856DB0EFB67A17_13</vt:lpwstr>
  </property>
</Properties>
</file>