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D50051A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94E55">
        <w:rPr>
          <w:b/>
        </w:rPr>
        <w:t>22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F36A2C">
        <w:rPr>
          <w:b/>
        </w:rPr>
        <w:t>2</w:t>
      </w:r>
      <w:r w:rsidR="00694E55">
        <w:rPr>
          <w:b/>
        </w:rPr>
        <w:t>3</w:t>
      </w:r>
      <w:r>
        <w:rPr>
          <w:b/>
          <w:lang w:val="en-US"/>
        </w:rPr>
        <w:t xml:space="preserve"> </w:t>
      </w:r>
      <w:r w:rsidR="00F36A2C">
        <w:rPr>
          <w:b/>
        </w:rPr>
        <w:t>Декември</w:t>
      </w:r>
      <w:r>
        <w:rPr>
          <w:b/>
        </w:rPr>
        <w:t xml:space="preserve"> 2018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</w:t>
      </w:r>
      <w:bookmarkStart w:id="0" w:name="_GoBack"/>
      <w:bookmarkEnd w:id="0"/>
      <w:r>
        <w:t xml:space="preserve">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9E6BD9">
      <w:pPr>
        <w:pStyle w:val="Heading2"/>
        <w:numPr>
          <w:ilvl w:val="0"/>
          <w:numId w:val="0"/>
        </w:numPr>
        <w:rPr>
          <w:sz w:val="32"/>
        </w:rPr>
      </w:pPr>
      <w:r w:rsidRPr="00EE6256">
        <w:rPr>
          <w:sz w:val="32"/>
        </w:rPr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0F4DF7AE" w14:textId="43B2E97B" w:rsidR="00541782" w:rsidRPr="00EE6256" w:rsidRDefault="00541782" w:rsidP="00EE6256">
      <w:pPr>
        <w:rPr>
          <w:lang w:val="ru-RU"/>
        </w:rPr>
      </w:pPr>
      <w:r w:rsidRPr="005C2728">
        <w:rPr>
          <w:rFonts w:ascii="Calibri" w:eastAsia="Calibri" w:hAnsi="Calibri" w:cs="Calibri"/>
          <w:b/>
          <w:color w:val="7C380A"/>
          <w:sz w:val="36"/>
        </w:rPr>
        <w:t xml:space="preserve">Задача 4. Най-добър играч </w:t>
      </w:r>
      <w:r w:rsidR="00EE6256">
        <w:rPr>
          <w:rFonts w:ascii="Calibri" w:eastAsia="Calibri" w:hAnsi="Calibri" w:cs="Calibri"/>
          <w:b/>
          <w:color w:val="7C380A"/>
          <w:sz w:val="36"/>
        </w:rPr>
        <w:br/>
      </w:r>
      <w:r w:rsidR="00EE6256">
        <w:rPr>
          <w:i/>
        </w:rPr>
        <w:t>Четвърта задача от изпит "Основи на програмирането" –</w:t>
      </w:r>
      <w:r w:rsidR="00EE6256" w:rsidRPr="009E6BD9">
        <w:rPr>
          <w:i/>
        </w:rPr>
        <w:t xml:space="preserve"> </w:t>
      </w:r>
      <w:r w:rsidR="00EE6256" w:rsidRPr="009E6BD9">
        <w:rPr>
          <w:b/>
          <w:i/>
          <w:lang w:val="en-US"/>
        </w:rPr>
        <w:t>28</w:t>
      </w:r>
      <w:r w:rsidR="00EE6256" w:rsidRPr="009E6BD9">
        <w:rPr>
          <w:b/>
          <w:i/>
          <w:lang w:val="ru-RU"/>
        </w:rPr>
        <w:t xml:space="preserve"> </w:t>
      </w:r>
      <w:r w:rsidR="00EE6256" w:rsidRPr="009E6BD9">
        <w:rPr>
          <w:b/>
          <w:i/>
        </w:rPr>
        <w:t xml:space="preserve">и </w:t>
      </w:r>
      <w:r w:rsidR="00EE6256" w:rsidRPr="009E6BD9">
        <w:rPr>
          <w:b/>
          <w:i/>
          <w:lang w:val="en-US"/>
        </w:rPr>
        <w:t>29</w:t>
      </w:r>
      <w:r w:rsidR="00EE6256" w:rsidRPr="009E6BD9">
        <w:rPr>
          <w:b/>
          <w:i/>
        </w:rPr>
        <w:t xml:space="preserve"> Юли 2018 г</w:t>
      </w:r>
      <w:r w:rsidR="00EE6256">
        <w:rPr>
          <w:i/>
        </w:rPr>
        <w:t>.</w:t>
      </w:r>
      <w:r w:rsidR="00EE6256">
        <w:rPr>
          <w:rFonts w:ascii="Calibri" w:eastAsia="Calibri" w:hAnsi="Calibri" w:cs="Calibri"/>
          <w:b/>
          <w:lang w:val="ru-RU"/>
        </w:rPr>
        <w:t xml:space="preserve"> </w:t>
      </w:r>
      <w:r w:rsidR="00EE6256">
        <w:rPr>
          <w:i/>
        </w:rPr>
        <w:t xml:space="preserve">Тествайте решението си </w:t>
      </w:r>
      <w:hyperlink r:id="rId12" w:anchor="6" w:history="1">
        <w:r w:rsidR="00EE6256">
          <w:rPr>
            <w:rStyle w:val="Hyperlink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54178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541782">
      <w:pPr>
        <w:keepNext/>
        <w:keepLines/>
        <w:spacing w:before="40" w:after="40"/>
        <w:jc w:val="both"/>
        <w:rPr>
          <w:rFonts w:ascii="Calibri" w:eastAsia="Calibri" w:hAnsi="Calibri" w:cs="Calibri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541782">
      <w:pPr>
        <w:pStyle w:val="Heading2"/>
        <w:numPr>
          <w:ilvl w:val="0"/>
          <w:numId w:val="0"/>
        </w:numPr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ListParagraph"/>
        <w:numPr>
          <w:ilvl w:val="0"/>
          <w:numId w:val="25"/>
        </w:numPr>
        <w:rPr>
          <w:b/>
          <w:lang w:val="ru-RU"/>
        </w:rPr>
      </w:pPr>
      <w:r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 xml:space="preserve">и ако са променяйте помощните променливи, които направихме в </w:t>
      </w:r>
      <w:r w:rsidR="00D139E4">
        <w:lastRenderedPageBreak/>
        <w:t>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541782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  <w:lang w:val="en-US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7C26F5">
      <w:pPr>
        <w:pStyle w:val="Heading1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lastRenderedPageBreak/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7257B9">
      <w:pPr>
        <w:keepNext/>
        <w:keepLines/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7257B9">
      <w:pPr>
        <w:pStyle w:val="Heading2"/>
        <w:numPr>
          <w:ilvl w:val="0"/>
          <w:numId w:val="0"/>
        </w:numPr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C49DE" w14:textId="77777777" w:rsidR="008F0B5E" w:rsidRDefault="008F0B5E">
      <w:pPr>
        <w:spacing w:before="0" w:after="0" w:line="240" w:lineRule="auto"/>
      </w:pPr>
      <w:r>
        <w:separator/>
      </w:r>
    </w:p>
  </w:endnote>
  <w:endnote w:type="continuationSeparator" w:id="0">
    <w:p w14:paraId="5B5D9569" w14:textId="77777777" w:rsidR="008F0B5E" w:rsidRDefault="008F0B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E6256" w:rsidRDefault="00EE6256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E6256" w:rsidRDefault="00EE6256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E6256" w:rsidRDefault="00EE6256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E6256" w:rsidRDefault="00EE6256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E6256" w:rsidRDefault="00EE6256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E6256" w:rsidRDefault="00EE6256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E6256" w:rsidRDefault="00EE6256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EE6256" w:rsidRDefault="00EE6256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EE6256" w:rsidRDefault="00EE6256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F05A3" w14:textId="77777777" w:rsidR="008F0B5E" w:rsidRDefault="008F0B5E">
      <w:pPr>
        <w:spacing w:before="0" w:after="0" w:line="240" w:lineRule="auto"/>
      </w:pPr>
      <w:r>
        <w:separator/>
      </w:r>
    </w:p>
  </w:footnote>
  <w:footnote w:type="continuationSeparator" w:id="0">
    <w:p w14:paraId="022671F7" w14:textId="77777777" w:rsidR="008F0B5E" w:rsidRDefault="008F0B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EE6256" w:rsidRDefault="00EE6256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B4D07"/>
    <w:rsid w:val="002E5C29"/>
    <w:rsid w:val="002F512F"/>
    <w:rsid w:val="0030337D"/>
    <w:rsid w:val="003155F8"/>
    <w:rsid w:val="003A7737"/>
    <w:rsid w:val="003D2730"/>
    <w:rsid w:val="00455A6F"/>
    <w:rsid w:val="004B51D1"/>
    <w:rsid w:val="00516074"/>
    <w:rsid w:val="00541782"/>
    <w:rsid w:val="00542EAA"/>
    <w:rsid w:val="00561A7B"/>
    <w:rsid w:val="005668AE"/>
    <w:rsid w:val="005B2A41"/>
    <w:rsid w:val="005B5155"/>
    <w:rsid w:val="005E32C7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D46A1"/>
    <w:rsid w:val="00AF5529"/>
    <w:rsid w:val="00B873BB"/>
    <w:rsid w:val="00BC4DB9"/>
    <w:rsid w:val="00BD0B5B"/>
    <w:rsid w:val="00C0418D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EC2CA3"/>
    <w:rsid w:val="00ED3972"/>
    <w:rsid w:val="00ED6AB8"/>
    <w:rsid w:val="00EE6256"/>
    <w:rsid w:val="00F00B29"/>
    <w:rsid w:val="00F14B70"/>
    <w:rsid w:val="00F36A2C"/>
    <w:rsid w:val="00F51B9F"/>
    <w:rsid w:val="00F5227F"/>
    <w:rsid w:val="00F53BD9"/>
    <w:rsid w:val="00F57542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A89E-FCA6-45F1-9A8D-DCA2702F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sanya</cp:lastModifiedBy>
  <cp:revision>15</cp:revision>
  <cp:lastPrinted>2018-07-27T13:19:00Z</cp:lastPrinted>
  <dcterms:created xsi:type="dcterms:W3CDTF">2018-10-25T10:44:00Z</dcterms:created>
  <dcterms:modified xsi:type="dcterms:W3CDTF">2018-12-14T15:03:00Z</dcterms:modified>
</cp:coreProperties>
</file>