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02CB" w14:textId="540DE28A" w:rsidR="005A17F9" w:rsidRDefault="0005028B">
      <w:r w:rsidRPr="0005028B">
        <w:t>2. Comments relevant to the exam</w:t>
      </w:r>
      <w:r>
        <w:t xml:space="preserve"> </w:t>
      </w:r>
      <w:r>
        <w:rPr>
          <w:i/>
          <w:iCs/>
        </w:rPr>
        <w:t>(from an email about assignment sent by of the TAs, this part was names us such, thus prepare the exam prep with information belowe in mind)</w:t>
      </w:r>
      <w:r w:rsidRPr="0005028B">
        <w:br/>
      </w:r>
      <w:r w:rsidRPr="0005028B">
        <w:br/>
        <w:t>2.1 This brings me to the second part. For the exam, you MUST know individual and time fixed effects; there are several tasks on this topic alone. Based on your answers during the presentations, some of you do not know when to use which FE, what factors they control for, or which variables cannot be used together with them. Please read the relevant chapter, revisit the lecture slides (Lecture 12), watch the recordings and come for a consultation, but learn this topic.</w:t>
      </w:r>
      <w:r w:rsidRPr="0005028B">
        <w:br/>
      </w:r>
      <w:r w:rsidRPr="0005028B">
        <w:br/>
        <w:t>2.2 Instruments. You generally performed slightly better here, but this still requires a lot of practice. Make sure you know: what the endogeneity problem is (with particular attention to reverse causality), the properties of a valid instrument (relevance and exogeneity), the mechanics of 2SLS, and instrument tests (weak instruments, overidentification).</w:t>
      </w:r>
      <w:r w:rsidRPr="0005028B">
        <w:br/>
      </w:r>
      <w:r w:rsidRPr="0005028B">
        <w:br/>
        <w:t>2.3 Marginal effects and interaction terms. Regardless of who prepared the presentation (you, your teammate or AI), by now you should be able to interpret any interaction term you see in a regression. We asked many of you to interpret gdp_growth × gdp_initial, and not everybody managed to answer. Remember that in more complex cases we use marginal effects. Distinguish between an interaction with a dummy variable and an interaction with a continuous variable.</w:t>
      </w:r>
      <w:r w:rsidRPr="0005028B">
        <w:br/>
      </w:r>
      <w:r w:rsidRPr="0005028B">
        <w:br/>
        <w:t>2.4 One sub-task concerned the persistence of conflict, where you added a lag of the dependent variable. This regression can be used to study the short-term and long-term effects of gdp_growth, but not all teams were able to explain how. Please revisit Lecture 10, there is a very similar task in Seminar 9, Problem 2.</w:t>
      </w:r>
    </w:p>
    <w:p w14:paraId="4CF121B7" w14:textId="77777777" w:rsidR="0005028B" w:rsidRDefault="0005028B"/>
    <w:p w14:paraId="5E8B23CE" w14:textId="6F435B32" w:rsidR="0005028B" w:rsidRPr="0005028B" w:rsidRDefault="0005028B" w:rsidP="0005028B">
      <w:pPr>
        <w:rPr>
          <w:i/>
          <w:iCs/>
        </w:rPr>
      </w:pPr>
      <w:r w:rsidRPr="0005028B">
        <w:rPr>
          <w:b/>
          <w:bCs/>
        </w:rPr>
        <w:t>Final exam: what to expect</w:t>
      </w:r>
      <w:r>
        <w:rPr>
          <w:b/>
          <w:bCs/>
        </w:rPr>
        <w:t xml:space="preserve"> </w:t>
      </w:r>
      <w:r w:rsidRPr="0005028B">
        <w:rPr>
          <w:i/>
          <w:iCs/>
        </w:rPr>
        <w:t>(all that’s below here is from the professor’s email about the exam)</w:t>
      </w:r>
    </w:p>
    <w:p w14:paraId="1AE96DBB" w14:textId="77777777" w:rsidR="0005028B" w:rsidRPr="0005028B" w:rsidRDefault="0005028B" w:rsidP="0005028B">
      <w:r w:rsidRPr="0005028B">
        <w:rPr>
          <w:b/>
          <w:bCs/>
        </w:rPr>
        <w:t>1. Coverage.</w:t>
      </w:r>
      <w:r w:rsidRPr="0005028B">
        <w:t> The exam covers topics 8–14:</w:t>
      </w:r>
    </w:p>
    <w:p w14:paraId="082354E3" w14:textId="77777777" w:rsidR="0005028B" w:rsidRPr="0005028B" w:rsidRDefault="0005028B" w:rsidP="0005028B">
      <w:pPr>
        <w:numPr>
          <w:ilvl w:val="0"/>
          <w:numId w:val="1"/>
        </w:numPr>
      </w:pPr>
      <w:r w:rsidRPr="0005028B">
        <w:t>Univariate stationary time series models (AR, MA, ARMA, stationarity).</w:t>
      </w:r>
    </w:p>
    <w:p w14:paraId="4E7C338C" w14:textId="77777777" w:rsidR="0005028B" w:rsidRPr="0005028B" w:rsidRDefault="0005028B" w:rsidP="0005028B">
      <w:pPr>
        <w:numPr>
          <w:ilvl w:val="0"/>
          <w:numId w:val="1"/>
        </w:numPr>
      </w:pPr>
      <w:r w:rsidRPr="0005028B">
        <w:t>Nonstationarity and unit root tests (consequences of non-stationarity, ADF, PP, KPSS, ARIMA estimation and diagnostics).</w:t>
      </w:r>
    </w:p>
    <w:p w14:paraId="0DD26CB6" w14:textId="77777777" w:rsidR="0005028B" w:rsidRPr="0005028B" w:rsidRDefault="0005028B" w:rsidP="0005028B">
      <w:pPr>
        <w:numPr>
          <w:ilvl w:val="0"/>
          <w:numId w:val="1"/>
        </w:numPr>
      </w:pPr>
      <w:r w:rsidRPr="0005028B">
        <w:t>Time series regressions (types of models, structural breaks, interpreting coefficients, OLS assumptions, residual diagnostics).</w:t>
      </w:r>
    </w:p>
    <w:p w14:paraId="5CA13657" w14:textId="77777777" w:rsidR="0005028B" w:rsidRPr="0005028B" w:rsidRDefault="0005028B" w:rsidP="0005028B">
      <w:pPr>
        <w:numPr>
          <w:ilvl w:val="0"/>
          <w:numId w:val="1"/>
        </w:numPr>
      </w:pPr>
      <w:r w:rsidRPr="0005028B">
        <w:lastRenderedPageBreak/>
        <w:t>ARCH/GARCH models.</w:t>
      </w:r>
    </w:p>
    <w:p w14:paraId="2FAE9899" w14:textId="77777777" w:rsidR="0005028B" w:rsidRPr="0005028B" w:rsidRDefault="0005028B" w:rsidP="0005028B">
      <w:pPr>
        <w:numPr>
          <w:ilvl w:val="0"/>
          <w:numId w:val="1"/>
        </w:numPr>
      </w:pPr>
      <w:r w:rsidRPr="0005028B">
        <w:t>Panel data (pooled OLS, FE, RE, FE-2SLS, difference-in-differences).</w:t>
      </w:r>
    </w:p>
    <w:p w14:paraId="5820FC20" w14:textId="77777777" w:rsidR="0005028B" w:rsidRPr="0005028B" w:rsidRDefault="0005028B" w:rsidP="0005028B">
      <w:pPr>
        <w:numPr>
          <w:ilvl w:val="0"/>
          <w:numId w:val="1"/>
        </w:numPr>
      </w:pPr>
      <w:r w:rsidRPr="0005028B">
        <w:t>VARs and SVARs.</w:t>
      </w:r>
    </w:p>
    <w:p w14:paraId="0475299A" w14:textId="77777777" w:rsidR="0005028B" w:rsidRPr="0005028B" w:rsidRDefault="0005028B" w:rsidP="0005028B">
      <w:pPr>
        <w:numPr>
          <w:ilvl w:val="0"/>
          <w:numId w:val="1"/>
        </w:numPr>
      </w:pPr>
      <w:r w:rsidRPr="0005028B">
        <w:t>Cointegration and error correction models.</w:t>
      </w:r>
    </w:p>
    <w:p w14:paraId="1DC9A17C" w14:textId="77777777" w:rsidR="0005028B" w:rsidRPr="0005028B" w:rsidRDefault="0005028B" w:rsidP="0005028B">
      <w:r w:rsidRPr="0005028B">
        <w:rPr>
          <w:b/>
          <w:bCs/>
        </w:rPr>
        <w:t>2. Structure and time.</w:t>
      </w:r>
      <w:r w:rsidRPr="0005028B">
        <w:t> The structure is the same as the midterm. Part A has multiple-choice questions. Part B has open questions: calculations, interpreting EViews output and explaining your reasoning. The total is 200 points, and the exam lasts 2 hours. Part B will take much longer to complete than Part A.</w:t>
      </w:r>
    </w:p>
    <w:p w14:paraId="5B44CFC9" w14:textId="77777777" w:rsidR="0005028B" w:rsidRDefault="0005028B" w:rsidP="0005028B">
      <w:pPr>
        <w:rPr>
          <w:b/>
          <w:bCs/>
        </w:rPr>
      </w:pPr>
      <w:r w:rsidRPr="0005028B">
        <w:rPr>
          <w:b/>
          <w:bCs/>
        </w:rPr>
        <w:t>3. What’s new: “select all that apply” questions.</w:t>
      </w:r>
      <w:r w:rsidRPr="0005028B">
        <w:t> Some Part A questions have more than one correct answer. They are marked “(select all that apply)” and scored as: (correct options selected − incorrect options selected) ÷ (total number of correct options) × points, with a minimum of zero. For example, if a question has two correct options: selecting both earns full points; selecting one earns half; selecting one correct and one incorrect earns zero. </w:t>
      </w:r>
      <w:r w:rsidRPr="0005028B">
        <w:rPr>
          <w:b/>
          <w:bCs/>
        </w:rPr>
        <w:t>Wrong choices cancel out right ones, so don’t tick an option unless you are confident.</w:t>
      </w:r>
    </w:p>
    <w:p w14:paraId="3AC34891" w14:textId="77777777" w:rsidR="0005028B" w:rsidRPr="0005028B" w:rsidRDefault="0005028B" w:rsidP="0005028B">
      <w:r w:rsidRPr="0005028B">
        <w:rPr>
          <w:b/>
          <w:bCs/>
        </w:rPr>
        <w:t>This exam is hard. Prepare well.</w:t>
      </w:r>
      <w:r w:rsidRPr="0005028B">
        <w:t> The open questions carry more than half of the points, and they require a complete argument, not just the right term (review the answers to the midterm exam questions once more). From the midterm, the most common ways to lose points were:</w:t>
      </w:r>
    </w:p>
    <w:p w14:paraId="70C3B2C5" w14:textId="77777777" w:rsidR="0005028B" w:rsidRPr="0005028B" w:rsidRDefault="0005028B" w:rsidP="0005028B">
      <w:pPr>
        <w:numPr>
          <w:ilvl w:val="0"/>
          <w:numId w:val="2"/>
        </w:numPr>
      </w:pPr>
      <w:r w:rsidRPr="0005028B">
        <w:t>Giving a number without the expression. Always show how you got it.</w:t>
      </w:r>
    </w:p>
    <w:p w14:paraId="1EAE3671" w14:textId="77777777" w:rsidR="0005028B" w:rsidRPr="0005028B" w:rsidRDefault="0005028B" w:rsidP="0005028B">
      <w:pPr>
        <w:numPr>
          <w:ilvl w:val="0"/>
          <w:numId w:val="2"/>
        </w:numPr>
      </w:pPr>
      <w:r w:rsidRPr="0005028B">
        <w:t>Stopping after the test decision. State the decision, what it means, and why.</w:t>
      </w:r>
    </w:p>
    <w:p w14:paraId="1C6B3EBB" w14:textId="77777777" w:rsidR="0005028B" w:rsidRPr="0005028B" w:rsidRDefault="0005028B" w:rsidP="0005028B">
      <w:pPr>
        <w:numPr>
          <w:ilvl w:val="0"/>
          <w:numId w:val="2"/>
        </w:numPr>
      </w:pPr>
      <w:r w:rsidRPr="0005028B">
        <w:t>Overstating results. “Fail to reject H₀” is not proof that H₀ is true.</w:t>
      </w:r>
    </w:p>
    <w:p w14:paraId="59524FD1" w14:textId="77777777" w:rsidR="0005028B" w:rsidRPr="0005028B" w:rsidRDefault="0005028B" w:rsidP="0005028B">
      <w:pPr>
        <w:numPr>
          <w:ilvl w:val="0"/>
          <w:numId w:val="2"/>
        </w:numPr>
      </w:pPr>
      <w:r w:rsidRPr="0005028B">
        <w:t>Mistakes with units and scale (percent vs. percentage points, the size of a shock).</w:t>
      </w:r>
    </w:p>
    <w:p w14:paraId="45CCF47E" w14:textId="58E44DD7" w:rsidR="0005028B" w:rsidRPr="0005028B" w:rsidRDefault="0005028B" w:rsidP="0005028B">
      <w:r w:rsidRPr="0005028B">
        <w:t>Practise reading EViews output and work through past problems in writing</w:t>
      </w:r>
      <w:r>
        <w:t xml:space="preserve"> (seminars)</w:t>
      </w:r>
      <w:r w:rsidRPr="0005028B">
        <w:t>, not just by recognising answers. Work through the questions at the end of each lecture note.</w:t>
      </w:r>
    </w:p>
    <w:p w14:paraId="75B721B2" w14:textId="77777777" w:rsidR="0005028B" w:rsidRPr="0005028B" w:rsidRDefault="0005028B" w:rsidP="0005028B"/>
    <w:p w14:paraId="0197A96A" w14:textId="77777777" w:rsidR="0005028B" w:rsidRDefault="0005028B"/>
    <w:sectPr w:rsidR="00050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D90"/>
    <w:multiLevelType w:val="multilevel"/>
    <w:tmpl w:val="02F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CE6E07"/>
    <w:multiLevelType w:val="multilevel"/>
    <w:tmpl w:val="C6EC07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2730245">
    <w:abstractNumId w:val="1"/>
  </w:num>
  <w:num w:numId="2" w16cid:durableId="127598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2A"/>
    <w:rsid w:val="0005028B"/>
    <w:rsid w:val="00075B2A"/>
    <w:rsid w:val="001D7D06"/>
    <w:rsid w:val="00473396"/>
    <w:rsid w:val="005A17F9"/>
    <w:rsid w:val="00674591"/>
    <w:rsid w:val="007357C9"/>
    <w:rsid w:val="00D70E34"/>
    <w:rsid w:val="00FD0540"/>
    <w:rsid w:val="00FF0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2D34"/>
  <w15:chartTrackingRefBased/>
  <w15:docId w15:val="{9C476656-7EB1-4DF3-A2D8-8CEDF446B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B2A"/>
    <w:rPr>
      <w:rFonts w:eastAsiaTheme="majorEastAsia" w:cstheme="majorBidi"/>
      <w:color w:val="272727" w:themeColor="text1" w:themeTint="D8"/>
    </w:rPr>
  </w:style>
  <w:style w:type="paragraph" w:styleId="Title">
    <w:name w:val="Title"/>
    <w:basedOn w:val="Normal"/>
    <w:next w:val="Normal"/>
    <w:link w:val="TitleChar"/>
    <w:uiPriority w:val="10"/>
    <w:qFormat/>
    <w:rsid w:val="0007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75B2A"/>
    <w:rPr>
      <w:i/>
      <w:iCs/>
      <w:color w:val="404040" w:themeColor="text1" w:themeTint="BF"/>
    </w:rPr>
  </w:style>
  <w:style w:type="paragraph" w:styleId="ListParagraph">
    <w:name w:val="List Paragraph"/>
    <w:basedOn w:val="Normal"/>
    <w:uiPriority w:val="34"/>
    <w:qFormat/>
    <w:rsid w:val="00075B2A"/>
    <w:pPr>
      <w:ind w:left="720"/>
      <w:contextualSpacing/>
    </w:pPr>
  </w:style>
  <w:style w:type="character" w:styleId="IntenseEmphasis">
    <w:name w:val="Intense Emphasis"/>
    <w:basedOn w:val="DefaultParagraphFont"/>
    <w:uiPriority w:val="21"/>
    <w:qFormat/>
    <w:rsid w:val="00075B2A"/>
    <w:rPr>
      <w:i/>
      <w:iCs/>
      <w:color w:val="0F4761" w:themeColor="accent1" w:themeShade="BF"/>
    </w:rPr>
  </w:style>
  <w:style w:type="paragraph" w:styleId="IntenseQuote">
    <w:name w:val="Intense Quote"/>
    <w:basedOn w:val="Normal"/>
    <w:next w:val="Normal"/>
    <w:link w:val="IntenseQuoteChar"/>
    <w:uiPriority w:val="30"/>
    <w:qFormat/>
    <w:rsid w:val="0007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B2A"/>
    <w:rPr>
      <w:i/>
      <w:iCs/>
      <w:color w:val="0F4761" w:themeColor="accent1" w:themeShade="BF"/>
    </w:rPr>
  </w:style>
  <w:style w:type="character" w:styleId="IntenseReference">
    <w:name w:val="Intense Reference"/>
    <w:basedOn w:val="DefaultParagraphFont"/>
    <w:uiPriority w:val="32"/>
    <w:qFormat/>
    <w:rsid w:val="00075B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Vilius Zaleckas</dc:creator>
  <cp:keywords/>
  <dc:description/>
  <cp:lastModifiedBy>Vilius Zaleckas</cp:lastModifiedBy>
  <cp:revision>2</cp:revision>
  <dcterms:created xsi:type="dcterms:W3CDTF">2026-10-21T11:20:00Z</dcterms:created>
  <dcterms:modified xsi:type="dcterms:W3CDTF">2026-10-21T11:25:00Z</dcterms:modified>
</cp:coreProperties>
</file>