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1B609" w14:textId="4D38B65D" w:rsidR="0091716D" w:rsidRDefault="0091716D" w:rsidP="0091716D">
      <w:pPr>
        <w:jc w:val="right"/>
        <w:rPr>
          <w:rFonts w:ascii="Arial" w:hAnsi="Arial" w:cs="Arial"/>
          <w:b/>
          <w:bCs/>
          <w:sz w:val="28"/>
          <w:szCs w:val="28"/>
          <w:u w:val="single"/>
        </w:rPr>
      </w:pPr>
      <w:r w:rsidRPr="0091716D">
        <w:rPr>
          <w:rFonts w:ascii="Arial" w:hAnsi="Arial" w:cs="Arial"/>
          <w:b/>
          <w:bCs/>
          <w:sz w:val="28"/>
          <w:szCs w:val="28"/>
          <w:u w:val="single"/>
        </w:rPr>
        <w:t>Matias Villaseca Torres 20807215-3</w:t>
      </w:r>
    </w:p>
    <w:p w14:paraId="37DFB3B2" w14:textId="77777777" w:rsidR="0091716D" w:rsidRPr="0091716D" w:rsidRDefault="0091716D" w:rsidP="0091716D">
      <w:pPr>
        <w:jc w:val="center"/>
        <w:rPr>
          <w:rFonts w:ascii="Arial" w:hAnsi="Arial" w:cs="Arial"/>
          <w:b/>
          <w:bCs/>
          <w:sz w:val="28"/>
          <w:szCs w:val="28"/>
          <w:u w:val="single"/>
        </w:rPr>
      </w:pPr>
    </w:p>
    <w:p w14:paraId="26E343FC" w14:textId="5C856E9F" w:rsidR="00B33F55" w:rsidRPr="000A0B33" w:rsidRDefault="00B33F55" w:rsidP="0091716D">
      <w:pPr>
        <w:jc w:val="center"/>
        <w:rPr>
          <w:rFonts w:ascii="Arial" w:hAnsi="Arial" w:cs="Arial"/>
          <w:b/>
          <w:bCs/>
          <w:sz w:val="28"/>
          <w:szCs w:val="28"/>
        </w:rPr>
      </w:pPr>
      <w:r w:rsidRPr="000A0B33">
        <w:rPr>
          <w:rFonts w:ascii="Arial" w:hAnsi="Arial" w:cs="Arial"/>
          <w:b/>
          <w:bCs/>
          <w:sz w:val="28"/>
          <w:szCs w:val="28"/>
        </w:rPr>
        <w:t xml:space="preserve">Análisis del Precio de las Acciones de </w:t>
      </w:r>
      <w:proofErr w:type="spellStart"/>
      <w:r w:rsidRPr="000A0B33">
        <w:rPr>
          <w:rFonts w:ascii="Arial" w:hAnsi="Arial" w:cs="Arial"/>
          <w:b/>
          <w:bCs/>
          <w:sz w:val="28"/>
          <w:szCs w:val="28"/>
        </w:rPr>
        <w:t>Nvidia</w:t>
      </w:r>
      <w:proofErr w:type="spellEnd"/>
      <w:r w:rsidRPr="000A0B33">
        <w:rPr>
          <w:rFonts w:ascii="Arial" w:hAnsi="Arial" w:cs="Arial"/>
          <w:b/>
          <w:bCs/>
          <w:sz w:val="28"/>
          <w:szCs w:val="28"/>
        </w:rPr>
        <w:t xml:space="preserve"> y su Influencia en las Opciones sobre Acciones</w:t>
      </w:r>
    </w:p>
    <w:p w14:paraId="77B3DF54" w14:textId="77777777" w:rsidR="00B33F55" w:rsidRPr="000A0B33" w:rsidRDefault="00B33F55" w:rsidP="0091716D">
      <w:pPr>
        <w:jc w:val="both"/>
        <w:rPr>
          <w:rFonts w:ascii="Arial" w:hAnsi="Arial" w:cs="Arial"/>
          <w:b/>
          <w:bCs/>
          <w:sz w:val="26"/>
          <w:szCs w:val="26"/>
        </w:rPr>
      </w:pPr>
      <w:r w:rsidRPr="000A0B33">
        <w:rPr>
          <w:rFonts w:ascii="Arial" w:hAnsi="Arial" w:cs="Arial"/>
          <w:b/>
          <w:bCs/>
          <w:sz w:val="26"/>
          <w:szCs w:val="26"/>
        </w:rPr>
        <w:t>1. Introducción</w:t>
      </w:r>
    </w:p>
    <w:p w14:paraId="4A8B8FFA" w14:textId="77777777" w:rsidR="00B33F55" w:rsidRPr="000A0B33" w:rsidRDefault="00B33F55" w:rsidP="0091716D">
      <w:pPr>
        <w:jc w:val="both"/>
        <w:rPr>
          <w:rFonts w:ascii="Arial" w:hAnsi="Arial" w:cs="Arial"/>
          <w:b/>
          <w:bCs/>
          <w:sz w:val="24"/>
          <w:szCs w:val="24"/>
        </w:rPr>
      </w:pPr>
      <w:r w:rsidRPr="000A0B33">
        <w:rPr>
          <w:rFonts w:ascii="Arial" w:hAnsi="Arial" w:cs="Arial"/>
          <w:b/>
          <w:bCs/>
          <w:sz w:val="24"/>
          <w:szCs w:val="24"/>
        </w:rPr>
        <w:t>1.1 Definición del Sector Tecnológico</w:t>
      </w:r>
    </w:p>
    <w:p w14:paraId="1CB6C2E3" w14:textId="091515E3" w:rsidR="008D3567" w:rsidRPr="000A0B33" w:rsidRDefault="00611225" w:rsidP="0091716D">
      <w:pPr>
        <w:jc w:val="both"/>
        <w:rPr>
          <w:rFonts w:ascii="Arial" w:hAnsi="Arial" w:cs="Arial"/>
        </w:rPr>
      </w:pPr>
      <w:r w:rsidRPr="00611225">
        <w:rPr>
          <w:rFonts w:ascii="Arial" w:hAnsi="Arial" w:cs="Arial"/>
        </w:rPr>
        <w:t>El sector tecnológico se caracteriza por la innovación continua en áreas como la inteligencia artificial y los semiconductores, que han transformado diversas industrias (</w:t>
      </w:r>
      <w:proofErr w:type="spellStart"/>
      <w:r w:rsidRPr="00611225">
        <w:rPr>
          <w:rFonts w:ascii="Arial" w:hAnsi="Arial" w:cs="Arial"/>
        </w:rPr>
        <w:t>Brynjolfsson</w:t>
      </w:r>
      <w:proofErr w:type="spellEnd"/>
      <w:r w:rsidRPr="00611225">
        <w:rPr>
          <w:rFonts w:ascii="Arial" w:hAnsi="Arial" w:cs="Arial"/>
        </w:rPr>
        <w:t xml:space="preserve"> &amp; McAfee, 2014). Empresas como </w:t>
      </w:r>
      <w:proofErr w:type="spellStart"/>
      <w:r w:rsidRPr="00611225">
        <w:rPr>
          <w:rFonts w:ascii="Arial" w:hAnsi="Arial" w:cs="Arial"/>
        </w:rPr>
        <w:t>Nvidia</w:t>
      </w:r>
      <w:proofErr w:type="spellEnd"/>
      <w:r w:rsidRPr="00611225">
        <w:rPr>
          <w:rFonts w:ascii="Arial" w:hAnsi="Arial" w:cs="Arial"/>
        </w:rPr>
        <w:t>, que lideran el desarrollo de unidades de procesamiento gráfico (</w:t>
      </w:r>
      <w:proofErr w:type="spellStart"/>
      <w:r w:rsidRPr="00611225">
        <w:rPr>
          <w:rFonts w:ascii="Arial" w:hAnsi="Arial" w:cs="Arial"/>
        </w:rPr>
        <w:t>GPUs</w:t>
      </w:r>
      <w:proofErr w:type="spellEnd"/>
      <w:r w:rsidRPr="00611225">
        <w:rPr>
          <w:rFonts w:ascii="Arial" w:hAnsi="Arial" w:cs="Arial"/>
        </w:rPr>
        <w:t>), juegan un papel crucial en impulsar la investigación y el desarrollo de hardware de alto rendimiento para la inteligencia artificial y el procesamiento de datos masivos (</w:t>
      </w:r>
      <w:proofErr w:type="spellStart"/>
      <w:r w:rsidRPr="00611225">
        <w:rPr>
          <w:rFonts w:ascii="Arial" w:hAnsi="Arial" w:cs="Arial"/>
        </w:rPr>
        <w:t>Jouppi</w:t>
      </w:r>
      <w:proofErr w:type="spellEnd"/>
      <w:r w:rsidRPr="00611225">
        <w:rPr>
          <w:rFonts w:ascii="Arial" w:hAnsi="Arial" w:cs="Arial"/>
        </w:rPr>
        <w:t xml:space="preserve"> et al., 2017). Según Muro y Liu (2020), la inteligencia artificial está teniendo un impacto significativo en la economía global, creando nuevas oportunidades en sectores como la manufactura y los servicios.</w:t>
      </w:r>
    </w:p>
    <w:p w14:paraId="5B3F4207" w14:textId="77777777" w:rsidR="00B33F55" w:rsidRPr="000A0B33" w:rsidRDefault="00B33F55" w:rsidP="0091716D">
      <w:pPr>
        <w:jc w:val="both"/>
        <w:rPr>
          <w:rFonts w:ascii="Arial" w:hAnsi="Arial" w:cs="Arial"/>
          <w:b/>
          <w:bCs/>
          <w:sz w:val="24"/>
          <w:szCs w:val="24"/>
        </w:rPr>
      </w:pPr>
      <w:r w:rsidRPr="000A0B33">
        <w:rPr>
          <w:rFonts w:ascii="Arial" w:hAnsi="Arial" w:cs="Arial"/>
          <w:b/>
          <w:bCs/>
          <w:sz w:val="24"/>
          <w:szCs w:val="24"/>
        </w:rPr>
        <w:t>1.2 Motivación y Justificación</w:t>
      </w:r>
    </w:p>
    <w:p w14:paraId="24D4F9C9" w14:textId="77777777" w:rsidR="00B33F55" w:rsidRPr="000A0B33" w:rsidRDefault="00B33F55" w:rsidP="0091716D">
      <w:pPr>
        <w:jc w:val="both"/>
        <w:rPr>
          <w:rFonts w:ascii="Arial" w:hAnsi="Arial" w:cs="Arial"/>
        </w:rPr>
      </w:pPr>
      <w:r w:rsidRPr="000A0B33">
        <w:rPr>
          <w:rFonts w:ascii="Arial" w:hAnsi="Arial" w:cs="Arial"/>
        </w:rPr>
        <w:t xml:space="preserve">La elección del sector tecnológico para este análisis se basa en su rol crucial en el avance de la economía digital y en la creación de nuevas oportunidades de inversión. </w:t>
      </w:r>
      <w:proofErr w:type="spellStart"/>
      <w:r w:rsidRPr="000A0B33">
        <w:rPr>
          <w:rFonts w:ascii="Arial" w:hAnsi="Arial" w:cs="Arial"/>
        </w:rPr>
        <w:t>Nvidia</w:t>
      </w:r>
      <w:proofErr w:type="spellEnd"/>
      <w:r w:rsidRPr="000A0B33">
        <w:rPr>
          <w:rFonts w:ascii="Arial" w:hAnsi="Arial" w:cs="Arial"/>
        </w:rPr>
        <w:t xml:space="preserve">, como líder en el mercado de </w:t>
      </w:r>
      <w:proofErr w:type="spellStart"/>
      <w:r w:rsidRPr="000A0B33">
        <w:rPr>
          <w:rFonts w:ascii="Arial" w:hAnsi="Arial" w:cs="Arial"/>
        </w:rPr>
        <w:t>GPUs</w:t>
      </w:r>
      <w:proofErr w:type="spellEnd"/>
      <w:r w:rsidRPr="000A0B33">
        <w:rPr>
          <w:rFonts w:ascii="Arial" w:hAnsi="Arial" w:cs="Arial"/>
        </w:rPr>
        <w:t xml:space="preserve"> y tecnologías relacionadas, representa un caso de estudio relevante debido a su influencia en sectores emergentes como la inteligencia artificial y el </w:t>
      </w:r>
      <w:proofErr w:type="spellStart"/>
      <w:r w:rsidRPr="000A0B33">
        <w:rPr>
          <w:rFonts w:ascii="Arial" w:hAnsi="Arial" w:cs="Arial"/>
        </w:rPr>
        <w:t>gaming</w:t>
      </w:r>
      <w:proofErr w:type="spellEnd"/>
      <w:r w:rsidRPr="000A0B33">
        <w:rPr>
          <w:rFonts w:ascii="Arial" w:hAnsi="Arial" w:cs="Arial"/>
        </w:rPr>
        <w:t>.</w:t>
      </w:r>
    </w:p>
    <w:p w14:paraId="0CA41ECC" w14:textId="77777777" w:rsidR="00B33F55" w:rsidRPr="000A0B33" w:rsidRDefault="00B33F55" w:rsidP="0091716D">
      <w:pPr>
        <w:jc w:val="both"/>
        <w:rPr>
          <w:rFonts w:ascii="Arial" w:hAnsi="Arial" w:cs="Arial"/>
          <w:b/>
          <w:bCs/>
          <w:sz w:val="26"/>
          <w:szCs w:val="26"/>
        </w:rPr>
      </w:pPr>
      <w:r w:rsidRPr="000A0B33">
        <w:rPr>
          <w:rFonts w:ascii="Arial" w:hAnsi="Arial" w:cs="Arial"/>
          <w:b/>
          <w:bCs/>
          <w:sz w:val="26"/>
          <w:szCs w:val="26"/>
        </w:rPr>
        <w:t>2. Análisis de Variables/Activos</w:t>
      </w:r>
    </w:p>
    <w:p w14:paraId="0F3E4105" w14:textId="77777777" w:rsidR="00B33F55" w:rsidRPr="000A0B33" w:rsidRDefault="00B33F55" w:rsidP="0091716D">
      <w:pPr>
        <w:jc w:val="both"/>
        <w:rPr>
          <w:rFonts w:ascii="Arial" w:hAnsi="Arial" w:cs="Arial"/>
          <w:b/>
          <w:bCs/>
          <w:sz w:val="24"/>
          <w:szCs w:val="24"/>
        </w:rPr>
      </w:pPr>
      <w:r w:rsidRPr="000A0B33">
        <w:rPr>
          <w:rFonts w:ascii="Arial" w:hAnsi="Arial" w:cs="Arial"/>
          <w:b/>
          <w:bCs/>
          <w:sz w:val="24"/>
          <w:szCs w:val="24"/>
        </w:rPr>
        <w:t xml:space="preserve">2.1 Precio de las Acciones de </w:t>
      </w:r>
      <w:proofErr w:type="spellStart"/>
      <w:r w:rsidRPr="000A0B33">
        <w:rPr>
          <w:rFonts w:ascii="Arial" w:hAnsi="Arial" w:cs="Arial"/>
          <w:b/>
          <w:bCs/>
          <w:sz w:val="24"/>
          <w:szCs w:val="24"/>
        </w:rPr>
        <w:t>Nvidia</w:t>
      </w:r>
      <w:proofErr w:type="spellEnd"/>
    </w:p>
    <w:p w14:paraId="58DBCD5C" w14:textId="77777777" w:rsidR="009F398E" w:rsidRPr="009F398E" w:rsidRDefault="009F398E" w:rsidP="0091716D">
      <w:pPr>
        <w:jc w:val="both"/>
        <w:rPr>
          <w:rFonts w:ascii="Arial" w:hAnsi="Arial" w:cs="Arial"/>
        </w:rPr>
      </w:pPr>
      <w:r w:rsidRPr="009F398E">
        <w:rPr>
          <w:rFonts w:ascii="Arial" w:hAnsi="Arial" w:cs="Arial"/>
        </w:rPr>
        <w:t xml:space="preserve">El análisis del precio de cierre de las acciones de </w:t>
      </w:r>
      <w:proofErr w:type="spellStart"/>
      <w:r w:rsidRPr="009F398E">
        <w:rPr>
          <w:rFonts w:ascii="Arial" w:hAnsi="Arial" w:cs="Arial"/>
        </w:rPr>
        <w:t>Nvidia</w:t>
      </w:r>
      <w:proofErr w:type="spellEnd"/>
      <w:r w:rsidRPr="009F398E">
        <w:rPr>
          <w:rFonts w:ascii="Arial" w:hAnsi="Arial" w:cs="Arial"/>
        </w:rPr>
        <w:t xml:space="preserve"> en los últimos cinco años, basándonos en los datos proporcionados, muestra:</w:t>
      </w:r>
    </w:p>
    <w:p w14:paraId="03621E96" w14:textId="77777777" w:rsidR="009F398E" w:rsidRPr="009F398E" w:rsidRDefault="009F398E" w:rsidP="0091716D">
      <w:pPr>
        <w:numPr>
          <w:ilvl w:val="0"/>
          <w:numId w:val="10"/>
        </w:numPr>
        <w:jc w:val="both"/>
        <w:rPr>
          <w:rFonts w:ascii="Arial" w:hAnsi="Arial" w:cs="Arial"/>
        </w:rPr>
      </w:pPr>
      <w:r w:rsidRPr="009F398E">
        <w:rPr>
          <w:rFonts w:ascii="Arial" w:hAnsi="Arial" w:cs="Arial"/>
        </w:rPr>
        <w:t>Precio más reciente (al 6 de septiembre de 2024): 101.79 USD</w:t>
      </w:r>
    </w:p>
    <w:p w14:paraId="663C2400" w14:textId="77777777" w:rsidR="009F398E" w:rsidRPr="009F398E" w:rsidRDefault="009F398E" w:rsidP="0091716D">
      <w:pPr>
        <w:numPr>
          <w:ilvl w:val="0"/>
          <w:numId w:val="10"/>
        </w:numPr>
        <w:jc w:val="both"/>
        <w:rPr>
          <w:rFonts w:ascii="Arial" w:hAnsi="Arial" w:cs="Arial"/>
        </w:rPr>
      </w:pPr>
      <w:r w:rsidRPr="009F398E">
        <w:rPr>
          <w:rFonts w:ascii="Arial" w:hAnsi="Arial" w:cs="Arial"/>
        </w:rPr>
        <w:t>Desviación Estándar Anualizada: 53.48% (volatilidad calculada a partir de los rendimientos diarios)</w:t>
      </w:r>
    </w:p>
    <w:p w14:paraId="2C3E0717" w14:textId="77777777" w:rsidR="009F398E" w:rsidRDefault="009F398E" w:rsidP="0091716D">
      <w:pPr>
        <w:jc w:val="both"/>
        <w:rPr>
          <w:rFonts w:ascii="Arial" w:hAnsi="Arial" w:cs="Arial"/>
        </w:rPr>
      </w:pPr>
      <w:r w:rsidRPr="009F398E">
        <w:rPr>
          <w:rFonts w:ascii="Arial" w:hAnsi="Arial" w:cs="Arial"/>
        </w:rPr>
        <w:t>Estos datos indican una alta volatilidad en el precio de las acciones, reflejando grandes fluctuaciones en el mercado.</w:t>
      </w:r>
    </w:p>
    <w:p w14:paraId="5F57A8B8" w14:textId="77777777" w:rsidR="003B45F7" w:rsidRDefault="003B45F7" w:rsidP="0091716D">
      <w:pPr>
        <w:jc w:val="both"/>
        <w:rPr>
          <w:rFonts w:ascii="Arial" w:hAnsi="Arial" w:cs="Arial"/>
        </w:rPr>
      </w:pPr>
      <w:r w:rsidRPr="003B45F7">
        <w:rPr>
          <w:rFonts w:ascii="Arial" w:hAnsi="Arial" w:cs="Arial"/>
        </w:rPr>
        <w:t xml:space="preserve">El gráfico a continuación muestra la evolución del precio de cierre de las acciones de </w:t>
      </w:r>
      <w:proofErr w:type="spellStart"/>
      <w:r w:rsidRPr="003B45F7">
        <w:rPr>
          <w:rFonts w:ascii="Arial" w:hAnsi="Arial" w:cs="Arial"/>
        </w:rPr>
        <w:t>Nvidia</w:t>
      </w:r>
      <w:proofErr w:type="spellEnd"/>
      <w:r w:rsidRPr="003B45F7">
        <w:rPr>
          <w:rFonts w:ascii="Arial" w:hAnsi="Arial" w:cs="Arial"/>
        </w:rPr>
        <w:t xml:space="preserve"> durante los últimos cinco años. Se puede observar una tendencia alcista significativa desde 2021, seguida de episodios de alta volatilidad, particularmente en 2023 y 2024. Este aumento en el precio refleja el crecimiento sostenido de </w:t>
      </w:r>
      <w:proofErr w:type="spellStart"/>
      <w:r w:rsidRPr="003B45F7">
        <w:rPr>
          <w:rFonts w:ascii="Arial" w:hAnsi="Arial" w:cs="Arial"/>
        </w:rPr>
        <w:t>Nvidia</w:t>
      </w:r>
      <w:proofErr w:type="spellEnd"/>
      <w:r w:rsidRPr="003B45F7">
        <w:rPr>
          <w:rFonts w:ascii="Arial" w:hAnsi="Arial" w:cs="Arial"/>
        </w:rPr>
        <w:t xml:space="preserve"> en el sector tecnológico, impulsado por el avance de la inteligencia artificial, los semiconductores y el </w:t>
      </w:r>
      <w:proofErr w:type="spellStart"/>
      <w:r w:rsidRPr="003B45F7">
        <w:rPr>
          <w:rFonts w:ascii="Arial" w:hAnsi="Arial" w:cs="Arial"/>
        </w:rPr>
        <w:t>gaming</w:t>
      </w:r>
      <w:proofErr w:type="spellEnd"/>
      <w:r w:rsidRPr="003B45F7">
        <w:rPr>
          <w:rFonts w:ascii="Arial" w:hAnsi="Arial" w:cs="Arial"/>
        </w:rPr>
        <w:t>.</w:t>
      </w:r>
    </w:p>
    <w:p w14:paraId="694BF348" w14:textId="060610A2" w:rsidR="003B45F7" w:rsidRDefault="003B45F7" w:rsidP="0091716D">
      <w:pPr>
        <w:jc w:val="both"/>
        <w:rPr>
          <w:rFonts w:ascii="Arial" w:hAnsi="Arial" w:cs="Arial"/>
        </w:rPr>
      </w:pPr>
      <w:r>
        <w:rPr>
          <w:rFonts w:ascii="Arial" w:hAnsi="Arial" w:cs="Arial"/>
          <w:noProof/>
        </w:rPr>
        <w:lastRenderedPageBreak/>
        <w:drawing>
          <wp:inline distT="0" distB="0" distL="0" distR="0" wp14:anchorId="31B8CD53" wp14:editId="2CBDDDB7">
            <wp:extent cx="5133688" cy="3244133"/>
            <wp:effectExtent l="0" t="0" r="0" b="0"/>
            <wp:docPr id="207579509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95096" name="Imagen 1" descr="Gráfico, Gráfico de líneas&#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139668" cy="3247912"/>
                    </a:xfrm>
                    <a:prstGeom prst="rect">
                      <a:avLst/>
                    </a:prstGeom>
                  </pic:spPr>
                </pic:pic>
              </a:graphicData>
            </a:graphic>
          </wp:inline>
        </w:drawing>
      </w:r>
    </w:p>
    <w:p w14:paraId="06F2DCFE" w14:textId="7D59860B" w:rsidR="00B33F55" w:rsidRPr="000A0B33" w:rsidRDefault="00B33F55" w:rsidP="0091716D">
      <w:pPr>
        <w:jc w:val="both"/>
        <w:rPr>
          <w:rFonts w:ascii="Arial" w:hAnsi="Arial" w:cs="Arial"/>
          <w:b/>
          <w:bCs/>
          <w:sz w:val="24"/>
          <w:szCs w:val="24"/>
        </w:rPr>
      </w:pPr>
      <w:r w:rsidRPr="000A0B33">
        <w:rPr>
          <w:rFonts w:ascii="Arial" w:hAnsi="Arial" w:cs="Arial"/>
          <w:b/>
          <w:bCs/>
          <w:sz w:val="24"/>
          <w:szCs w:val="24"/>
        </w:rPr>
        <w:t>2.2 Volumen de Transacciones</w:t>
      </w:r>
    </w:p>
    <w:p w14:paraId="2E14BBAA" w14:textId="77777777" w:rsidR="00B33F55" w:rsidRDefault="00B33F55" w:rsidP="0091716D">
      <w:pPr>
        <w:jc w:val="both"/>
        <w:rPr>
          <w:rFonts w:ascii="Arial" w:hAnsi="Arial" w:cs="Arial"/>
        </w:rPr>
      </w:pPr>
      <w:r w:rsidRPr="000A0B33">
        <w:rPr>
          <w:rFonts w:ascii="Arial" w:hAnsi="Arial" w:cs="Arial"/>
        </w:rPr>
        <w:t xml:space="preserve">El volumen de transacciones se refiere al número de acciones de </w:t>
      </w:r>
      <w:proofErr w:type="spellStart"/>
      <w:r w:rsidRPr="000A0B33">
        <w:rPr>
          <w:rFonts w:ascii="Arial" w:hAnsi="Arial" w:cs="Arial"/>
        </w:rPr>
        <w:t>Nvidia</w:t>
      </w:r>
      <w:proofErr w:type="spellEnd"/>
      <w:r w:rsidRPr="000A0B33">
        <w:rPr>
          <w:rFonts w:ascii="Arial" w:hAnsi="Arial" w:cs="Arial"/>
        </w:rPr>
        <w:t xml:space="preserve"> compradas y vendidas en un período determinado. Un mayor volumen suele indicar un mayor interés en el activo y puede correlacionarse con la volatilidad y liquidez del mercado.</w:t>
      </w:r>
    </w:p>
    <w:p w14:paraId="511E2CD9" w14:textId="77777777" w:rsidR="003B45F7" w:rsidRDefault="003B45F7" w:rsidP="0091716D">
      <w:pPr>
        <w:jc w:val="both"/>
        <w:rPr>
          <w:rFonts w:ascii="Arial" w:hAnsi="Arial" w:cs="Arial"/>
          <w:b/>
          <w:bCs/>
          <w:sz w:val="24"/>
          <w:szCs w:val="24"/>
        </w:rPr>
      </w:pPr>
      <w:r w:rsidRPr="003B45F7">
        <w:rPr>
          <w:rFonts w:ascii="Arial" w:hAnsi="Arial" w:cs="Arial"/>
        </w:rPr>
        <w:t xml:space="preserve">El gráfico que se presenta a continuación ilustra la evolución del volumen de transacciones de las acciones de </w:t>
      </w:r>
      <w:proofErr w:type="spellStart"/>
      <w:r w:rsidRPr="003B45F7">
        <w:rPr>
          <w:rFonts w:ascii="Arial" w:hAnsi="Arial" w:cs="Arial"/>
        </w:rPr>
        <w:t>Nvidia</w:t>
      </w:r>
      <w:proofErr w:type="spellEnd"/>
      <w:r w:rsidRPr="003B45F7">
        <w:rPr>
          <w:rFonts w:ascii="Arial" w:hAnsi="Arial" w:cs="Arial"/>
        </w:rPr>
        <w:t xml:space="preserve"> durante los últimos cinco años. Se puede apreciar que los volúmenes de transacción han fluctuado de manera significativa, alcanzando picos en momentos de alta volatilidad y eventos clave de mercado. Esto sugiere que el interés de los inversores ha sido considerablemente alto en periodos de cambios importantes en el precio de la acción.</w:t>
      </w:r>
    </w:p>
    <w:p w14:paraId="7111C0CB" w14:textId="77777777" w:rsidR="003B45F7" w:rsidRDefault="003B45F7" w:rsidP="0091716D">
      <w:pPr>
        <w:jc w:val="both"/>
        <w:rPr>
          <w:rFonts w:ascii="Arial" w:hAnsi="Arial" w:cs="Arial"/>
        </w:rPr>
      </w:pPr>
    </w:p>
    <w:p w14:paraId="135CC194" w14:textId="10E7E9FE" w:rsidR="003B45F7" w:rsidRDefault="003B45F7" w:rsidP="0091716D">
      <w:pPr>
        <w:jc w:val="both"/>
        <w:rPr>
          <w:rFonts w:ascii="Arial" w:hAnsi="Arial" w:cs="Arial"/>
        </w:rPr>
      </w:pPr>
      <w:r>
        <w:rPr>
          <w:rFonts w:ascii="Arial" w:hAnsi="Arial" w:cs="Arial"/>
          <w:noProof/>
        </w:rPr>
        <w:lastRenderedPageBreak/>
        <w:drawing>
          <wp:inline distT="0" distB="0" distL="0" distR="0" wp14:anchorId="2C087663" wp14:editId="1C55E689">
            <wp:extent cx="5287618" cy="3423969"/>
            <wp:effectExtent l="0" t="0" r="8890" b="5080"/>
            <wp:docPr id="814454419" name="Imagen 5"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54419" name="Imagen 5" descr="Gráfico, Gráfico de líneas, Histo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356556" cy="3468609"/>
                    </a:xfrm>
                    <a:prstGeom prst="rect">
                      <a:avLst/>
                    </a:prstGeom>
                  </pic:spPr>
                </pic:pic>
              </a:graphicData>
            </a:graphic>
          </wp:inline>
        </w:drawing>
      </w:r>
    </w:p>
    <w:p w14:paraId="07D3CE1F" w14:textId="5F25BF07" w:rsidR="00B33F55" w:rsidRPr="000A0B33" w:rsidRDefault="00B33F55" w:rsidP="0091716D">
      <w:pPr>
        <w:jc w:val="both"/>
        <w:rPr>
          <w:rFonts w:ascii="Arial" w:hAnsi="Arial" w:cs="Arial"/>
          <w:sz w:val="24"/>
          <w:szCs w:val="24"/>
        </w:rPr>
      </w:pPr>
      <w:r w:rsidRPr="000A0B33">
        <w:rPr>
          <w:rFonts w:ascii="Arial" w:hAnsi="Arial" w:cs="Arial"/>
          <w:b/>
          <w:bCs/>
          <w:sz w:val="24"/>
          <w:szCs w:val="24"/>
        </w:rPr>
        <w:t>2.3 Volatilidad</w:t>
      </w:r>
    </w:p>
    <w:p w14:paraId="639737E0" w14:textId="77777777" w:rsidR="00B33F55" w:rsidRDefault="00B33F55" w:rsidP="0091716D">
      <w:pPr>
        <w:jc w:val="both"/>
        <w:rPr>
          <w:rFonts w:ascii="Arial" w:hAnsi="Arial" w:cs="Arial"/>
        </w:rPr>
      </w:pPr>
      <w:r w:rsidRPr="000A0B33">
        <w:rPr>
          <w:rFonts w:ascii="Arial" w:hAnsi="Arial" w:cs="Arial"/>
        </w:rPr>
        <w:t>La volatilidad mide la variabilidad en el precio de las acciones. Una alta volatilidad sugiere que el precio de las acciones está sujeto a grandes fluctuaciones, lo que afecta la valoración de las opciones.</w:t>
      </w:r>
    </w:p>
    <w:p w14:paraId="5BAFEE1F" w14:textId="58B0B46F" w:rsidR="003B45F7" w:rsidRDefault="003B45F7" w:rsidP="0091716D">
      <w:pPr>
        <w:jc w:val="both"/>
        <w:rPr>
          <w:rFonts w:ascii="Arial" w:hAnsi="Arial" w:cs="Arial"/>
        </w:rPr>
      </w:pPr>
      <w:r w:rsidRPr="003B45F7">
        <w:rPr>
          <w:rFonts w:ascii="Arial" w:hAnsi="Arial" w:cs="Arial"/>
        </w:rPr>
        <w:t xml:space="preserve">En el siguiente gráfico, se representa la evolución de los rendimientos diarios de las acciones de </w:t>
      </w:r>
      <w:proofErr w:type="spellStart"/>
      <w:r w:rsidRPr="003B45F7">
        <w:rPr>
          <w:rFonts w:ascii="Arial" w:hAnsi="Arial" w:cs="Arial"/>
        </w:rPr>
        <w:t>Nvidia</w:t>
      </w:r>
      <w:proofErr w:type="spellEnd"/>
      <w:r w:rsidRPr="003B45F7">
        <w:rPr>
          <w:rFonts w:ascii="Arial" w:hAnsi="Arial" w:cs="Arial"/>
        </w:rPr>
        <w:t xml:space="preserve">, que miden la volatilidad del activo. Se pueden notar picos de alta volatilidad, especialmente entre 2020 y 2023, que coinciden con eventos clave del mercado. Este comportamiento refleja la alta sensibilidad del precio de </w:t>
      </w:r>
      <w:proofErr w:type="spellStart"/>
      <w:r w:rsidRPr="003B45F7">
        <w:rPr>
          <w:rFonts w:ascii="Arial" w:hAnsi="Arial" w:cs="Arial"/>
        </w:rPr>
        <w:t>Nvidia</w:t>
      </w:r>
      <w:proofErr w:type="spellEnd"/>
      <w:r w:rsidRPr="003B45F7">
        <w:rPr>
          <w:rFonts w:ascii="Arial" w:hAnsi="Arial" w:cs="Arial"/>
        </w:rPr>
        <w:t xml:space="preserve"> a los cambios del mercado y la creciente especulación en torno a sus acciones.</w:t>
      </w:r>
    </w:p>
    <w:p w14:paraId="0A462BFA" w14:textId="77777777" w:rsidR="003B45F7" w:rsidRDefault="003B45F7" w:rsidP="0091716D">
      <w:pPr>
        <w:jc w:val="both"/>
        <w:rPr>
          <w:rFonts w:ascii="Arial" w:hAnsi="Arial" w:cs="Arial"/>
        </w:rPr>
      </w:pPr>
      <w:r>
        <w:rPr>
          <w:rFonts w:ascii="Arial" w:hAnsi="Arial" w:cs="Arial"/>
          <w:noProof/>
        </w:rPr>
        <w:lastRenderedPageBreak/>
        <w:drawing>
          <wp:inline distT="0" distB="0" distL="0" distR="0" wp14:anchorId="1E2D804D" wp14:editId="4CCE2DFF">
            <wp:extent cx="4818491" cy="3002424"/>
            <wp:effectExtent l="0" t="0" r="1270" b="7620"/>
            <wp:docPr id="1543236485"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36485" name="Imagen 4" descr="Gráfico, Gráfico de línea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846635" cy="3019961"/>
                    </a:xfrm>
                    <a:prstGeom prst="rect">
                      <a:avLst/>
                    </a:prstGeom>
                  </pic:spPr>
                </pic:pic>
              </a:graphicData>
            </a:graphic>
          </wp:inline>
        </w:drawing>
      </w:r>
    </w:p>
    <w:p w14:paraId="59562504" w14:textId="35B8B6B6" w:rsidR="00B33F55" w:rsidRPr="003B45F7" w:rsidRDefault="00B33F55" w:rsidP="0091716D">
      <w:pPr>
        <w:jc w:val="both"/>
        <w:rPr>
          <w:rFonts w:ascii="Arial" w:hAnsi="Arial" w:cs="Arial"/>
        </w:rPr>
      </w:pPr>
      <w:r w:rsidRPr="000A0B33">
        <w:rPr>
          <w:rFonts w:ascii="Arial" w:hAnsi="Arial" w:cs="Arial"/>
          <w:b/>
          <w:bCs/>
          <w:sz w:val="26"/>
          <w:szCs w:val="26"/>
        </w:rPr>
        <w:t xml:space="preserve">3. Activo Derivado: Opciones sobre Acciones de </w:t>
      </w:r>
      <w:proofErr w:type="spellStart"/>
      <w:r w:rsidRPr="000A0B33">
        <w:rPr>
          <w:rFonts w:ascii="Arial" w:hAnsi="Arial" w:cs="Arial"/>
          <w:b/>
          <w:bCs/>
          <w:sz w:val="26"/>
          <w:szCs w:val="26"/>
        </w:rPr>
        <w:t>Nvidia</w:t>
      </w:r>
      <w:proofErr w:type="spellEnd"/>
    </w:p>
    <w:p w14:paraId="58D6E890" w14:textId="77777777" w:rsidR="00B33F55" w:rsidRPr="000A0B33" w:rsidRDefault="00B33F55" w:rsidP="0091716D">
      <w:pPr>
        <w:jc w:val="both"/>
        <w:rPr>
          <w:rFonts w:ascii="Arial" w:hAnsi="Arial" w:cs="Arial"/>
          <w:b/>
          <w:bCs/>
          <w:sz w:val="24"/>
          <w:szCs w:val="24"/>
        </w:rPr>
      </w:pPr>
      <w:r w:rsidRPr="000A0B33">
        <w:rPr>
          <w:rFonts w:ascii="Arial" w:hAnsi="Arial" w:cs="Arial"/>
          <w:b/>
          <w:bCs/>
          <w:sz w:val="24"/>
          <w:szCs w:val="24"/>
        </w:rPr>
        <w:t>3.1 Descripción del Activo Derivado</w:t>
      </w:r>
    </w:p>
    <w:p w14:paraId="47A4BB8C" w14:textId="77777777" w:rsidR="00B33F55" w:rsidRPr="000A0B33" w:rsidRDefault="00B33F55" w:rsidP="0091716D">
      <w:pPr>
        <w:jc w:val="both"/>
        <w:rPr>
          <w:rFonts w:ascii="Arial" w:hAnsi="Arial" w:cs="Arial"/>
        </w:rPr>
      </w:pPr>
      <w:r w:rsidRPr="000A0B33">
        <w:rPr>
          <w:rFonts w:ascii="Arial" w:hAnsi="Arial" w:cs="Arial"/>
        </w:rPr>
        <w:t>Las opciones sobre acciones son contratos financieros que permiten a los inversores comprar (</w:t>
      </w:r>
      <w:proofErr w:type="spellStart"/>
      <w:r w:rsidRPr="000A0B33">
        <w:rPr>
          <w:rFonts w:ascii="Arial" w:hAnsi="Arial" w:cs="Arial"/>
        </w:rPr>
        <w:t>call</w:t>
      </w:r>
      <w:proofErr w:type="spellEnd"/>
      <w:r w:rsidRPr="000A0B33">
        <w:rPr>
          <w:rFonts w:ascii="Arial" w:hAnsi="Arial" w:cs="Arial"/>
        </w:rPr>
        <w:t>) o vender (</w:t>
      </w:r>
      <w:proofErr w:type="spellStart"/>
      <w:r w:rsidRPr="000A0B33">
        <w:rPr>
          <w:rFonts w:ascii="Arial" w:hAnsi="Arial" w:cs="Arial"/>
        </w:rPr>
        <w:t>put</w:t>
      </w:r>
      <w:proofErr w:type="spellEnd"/>
      <w:r w:rsidRPr="000A0B33">
        <w:rPr>
          <w:rFonts w:ascii="Arial" w:hAnsi="Arial" w:cs="Arial"/>
        </w:rPr>
        <w:t xml:space="preserve">) acciones a un precio específico en una fecha futura. La valoración de estas opciones depende en gran medida del precio del activo subyacente, en este caso, las acciones de </w:t>
      </w:r>
      <w:proofErr w:type="spellStart"/>
      <w:r w:rsidRPr="000A0B33">
        <w:rPr>
          <w:rFonts w:ascii="Arial" w:hAnsi="Arial" w:cs="Arial"/>
        </w:rPr>
        <w:t>Nvidia</w:t>
      </w:r>
      <w:proofErr w:type="spellEnd"/>
      <w:r w:rsidRPr="000A0B33">
        <w:rPr>
          <w:rFonts w:ascii="Arial" w:hAnsi="Arial" w:cs="Arial"/>
        </w:rPr>
        <w:t>.</w:t>
      </w:r>
    </w:p>
    <w:p w14:paraId="15BBBE88" w14:textId="77777777" w:rsidR="00B33F55" w:rsidRPr="000A0B33" w:rsidRDefault="00B33F55" w:rsidP="0091716D">
      <w:pPr>
        <w:jc w:val="both"/>
        <w:rPr>
          <w:rFonts w:ascii="Arial" w:hAnsi="Arial" w:cs="Arial"/>
          <w:b/>
          <w:bCs/>
          <w:sz w:val="24"/>
          <w:szCs w:val="24"/>
        </w:rPr>
      </w:pPr>
      <w:r w:rsidRPr="000A0B33">
        <w:rPr>
          <w:rFonts w:ascii="Arial" w:hAnsi="Arial" w:cs="Arial"/>
          <w:b/>
          <w:bCs/>
          <w:sz w:val="24"/>
          <w:szCs w:val="24"/>
        </w:rPr>
        <w:t>3.2 Datos de Evolución</w:t>
      </w:r>
    </w:p>
    <w:p w14:paraId="7E6B2F61" w14:textId="77777777" w:rsidR="009F398E" w:rsidRPr="009F398E" w:rsidRDefault="009F398E" w:rsidP="0091716D">
      <w:pPr>
        <w:jc w:val="both"/>
        <w:rPr>
          <w:rFonts w:ascii="Arial" w:hAnsi="Arial" w:cs="Arial"/>
        </w:rPr>
      </w:pPr>
      <w:r w:rsidRPr="009F398E">
        <w:rPr>
          <w:rFonts w:ascii="Arial" w:hAnsi="Arial" w:cs="Arial"/>
        </w:rPr>
        <w:t xml:space="preserve">Para valorar las opciones sobre acciones de </w:t>
      </w:r>
      <w:proofErr w:type="spellStart"/>
      <w:r w:rsidRPr="009F398E">
        <w:rPr>
          <w:rFonts w:ascii="Arial" w:hAnsi="Arial" w:cs="Arial"/>
        </w:rPr>
        <w:t>Nvidia</w:t>
      </w:r>
      <w:proofErr w:type="spellEnd"/>
      <w:r w:rsidRPr="009F398E">
        <w:rPr>
          <w:rFonts w:ascii="Arial" w:hAnsi="Arial" w:cs="Arial"/>
        </w:rPr>
        <w:t>, consideramos los siguientes datos calculados a partir del archivo histórico:</w:t>
      </w:r>
    </w:p>
    <w:p w14:paraId="71058AFB" w14:textId="77777777" w:rsidR="009F398E" w:rsidRPr="009F398E" w:rsidRDefault="009F398E" w:rsidP="0091716D">
      <w:pPr>
        <w:numPr>
          <w:ilvl w:val="0"/>
          <w:numId w:val="11"/>
        </w:numPr>
        <w:jc w:val="both"/>
        <w:rPr>
          <w:rFonts w:ascii="Arial" w:hAnsi="Arial" w:cs="Arial"/>
        </w:rPr>
      </w:pPr>
      <w:r w:rsidRPr="009F398E">
        <w:rPr>
          <w:rFonts w:ascii="Arial" w:hAnsi="Arial" w:cs="Arial"/>
        </w:rPr>
        <w:t>Precio más reciente de la acción (6 de septiembre de 2024): 101.79 USD</w:t>
      </w:r>
    </w:p>
    <w:p w14:paraId="7CB1AB01" w14:textId="77777777" w:rsidR="009F398E" w:rsidRPr="009F398E" w:rsidRDefault="009F398E" w:rsidP="0091716D">
      <w:pPr>
        <w:numPr>
          <w:ilvl w:val="0"/>
          <w:numId w:val="11"/>
        </w:numPr>
        <w:jc w:val="both"/>
        <w:rPr>
          <w:rFonts w:ascii="Arial" w:hAnsi="Arial" w:cs="Arial"/>
        </w:rPr>
      </w:pPr>
      <w:r w:rsidRPr="009F398E">
        <w:rPr>
          <w:rFonts w:ascii="Arial" w:hAnsi="Arial" w:cs="Arial"/>
        </w:rPr>
        <w:t>Precio de Ejercicio: 35 USD</w:t>
      </w:r>
    </w:p>
    <w:p w14:paraId="46FA2DE3" w14:textId="77777777" w:rsidR="009F398E" w:rsidRPr="009F398E" w:rsidRDefault="009F398E" w:rsidP="0091716D">
      <w:pPr>
        <w:numPr>
          <w:ilvl w:val="0"/>
          <w:numId w:val="11"/>
        </w:numPr>
        <w:jc w:val="both"/>
        <w:rPr>
          <w:rFonts w:ascii="Arial" w:hAnsi="Arial" w:cs="Arial"/>
        </w:rPr>
      </w:pPr>
      <w:r w:rsidRPr="009F398E">
        <w:rPr>
          <w:rFonts w:ascii="Arial" w:hAnsi="Arial" w:cs="Arial"/>
        </w:rPr>
        <w:t>Tiempo hasta el Vencimiento: 6 meses</w:t>
      </w:r>
    </w:p>
    <w:p w14:paraId="06BF464B" w14:textId="77777777" w:rsidR="009F398E" w:rsidRPr="009F398E" w:rsidRDefault="009F398E" w:rsidP="0091716D">
      <w:pPr>
        <w:numPr>
          <w:ilvl w:val="0"/>
          <w:numId w:val="11"/>
        </w:numPr>
        <w:jc w:val="both"/>
        <w:rPr>
          <w:rFonts w:ascii="Arial" w:hAnsi="Arial" w:cs="Arial"/>
        </w:rPr>
      </w:pPr>
      <w:r w:rsidRPr="009F398E">
        <w:rPr>
          <w:rFonts w:ascii="Arial" w:hAnsi="Arial" w:cs="Arial"/>
        </w:rPr>
        <w:t>Volatilidad: 53.48% (volatilidad anualizada calculada a partir de los rendimientos diarios)</w:t>
      </w:r>
    </w:p>
    <w:p w14:paraId="72F86324" w14:textId="77777777" w:rsidR="009F398E" w:rsidRPr="009F398E" w:rsidRDefault="009F398E" w:rsidP="0091716D">
      <w:pPr>
        <w:numPr>
          <w:ilvl w:val="0"/>
          <w:numId w:val="11"/>
        </w:numPr>
        <w:jc w:val="both"/>
        <w:rPr>
          <w:rFonts w:ascii="Arial" w:hAnsi="Arial" w:cs="Arial"/>
        </w:rPr>
      </w:pPr>
      <w:r w:rsidRPr="009F398E">
        <w:rPr>
          <w:rFonts w:ascii="Arial" w:hAnsi="Arial" w:cs="Arial"/>
        </w:rPr>
        <w:t>Tasa de Interés Libre de Riesgo: 2% anual</w:t>
      </w:r>
    </w:p>
    <w:p w14:paraId="5D01DC65" w14:textId="77777777" w:rsidR="00B33F55" w:rsidRPr="000A0B33" w:rsidRDefault="00B33F55" w:rsidP="0091716D">
      <w:pPr>
        <w:jc w:val="both"/>
        <w:rPr>
          <w:rFonts w:ascii="Arial" w:hAnsi="Arial" w:cs="Arial"/>
          <w:b/>
          <w:bCs/>
          <w:sz w:val="24"/>
          <w:szCs w:val="24"/>
        </w:rPr>
      </w:pPr>
      <w:r w:rsidRPr="000A0B33">
        <w:rPr>
          <w:rFonts w:ascii="Arial" w:hAnsi="Arial" w:cs="Arial"/>
          <w:b/>
          <w:bCs/>
          <w:sz w:val="24"/>
          <w:szCs w:val="24"/>
        </w:rPr>
        <w:t>3.3 Procedimiento de Valoración</w:t>
      </w:r>
    </w:p>
    <w:p w14:paraId="2B70F006" w14:textId="77777777" w:rsidR="00B33F55" w:rsidRPr="000A0B33" w:rsidRDefault="00B33F55" w:rsidP="0091716D">
      <w:pPr>
        <w:jc w:val="both"/>
        <w:rPr>
          <w:rFonts w:ascii="Arial" w:hAnsi="Arial" w:cs="Arial"/>
        </w:rPr>
      </w:pPr>
      <w:r w:rsidRPr="000A0B33">
        <w:rPr>
          <w:rFonts w:ascii="Arial" w:hAnsi="Arial" w:cs="Arial"/>
        </w:rPr>
        <w:t xml:space="preserve">Utilizaremos el modelo Black-Scholes para valorar una opción </w:t>
      </w:r>
      <w:proofErr w:type="spellStart"/>
      <w:r w:rsidRPr="000A0B33">
        <w:rPr>
          <w:rFonts w:ascii="Arial" w:hAnsi="Arial" w:cs="Arial"/>
        </w:rPr>
        <w:t>call</w:t>
      </w:r>
      <w:proofErr w:type="spellEnd"/>
      <w:r w:rsidRPr="000A0B33">
        <w:rPr>
          <w:rFonts w:ascii="Arial" w:hAnsi="Arial" w:cs="Arial"/>
        </w:rPr>
        <w:t>. La fórmula es:</w:t>
      </w:r>
    </w:p>
    <w:p w14:paraId="0CFCFF47" w14:textId="5BDFD296" w:rsidR="00B33F55" w:rsidRPr="000A0B33" w:rsidRDefault="00B33F55" w:rsidP="0091716D">
      <w:pPr>
        <w:jc w:val="both"/>
        <w:rPr>
          <w:rFonts w:ascii="Arial" w:eastAsiaTheme="minorEastAsia" w:hAnsi="Arial" w:cs="Arial"/>
        </w:rPr>
      </w:pPr>
      <m:oMathPara>
        <m:oMath>
          <m:r>
            <w:rPr>
              <w:rFonts w:ascii="Cambria Math" w:hAnsi="Cambria Math" w:cs="Arial"/>
            </w:rPr>
            <m:t>C=S0​⋅N</m:t>
          </m:r>
          <m:d>
            <m:dPr>
              <m:ctrlPr>
                <w:rPr>
                  <w:rFonts w:ascii="Cambria Math" w:hAnsi="Cambria Math" w:cs="Arial"/>
                  <w:i/>
                  <w:iCs/>
                </w:rPr>
              </m:ctrlPr>
            </m:dPr>
            <m:e>
              <m:r>
                <w:rPr>
                  <w:rFonts w:ascii="Cambria Math" w:hAnsi="Cambria Math" w:cs="Arial"/>
                </w:rPr>
                <m:t>d1​</m:t>
              </m:r>
              <m:ctrlPr>
                <w:rPr>
                  <w:rFonts w:ascii="Cambria Math" w:hAnsi="Cambria Math" w:cs="Arial"/>
                  <w:i/>
                </w:rPr>
              </m:ctrlPr>
            </m:e>
          </m:d>
          <m:r>
            <w:rPr>
              <w:rFonts w:ascii="Cambria Math" w:hAnsi="Cambria Math" w:cs="Arial"/>
            </w:rPr>
            <m:t>-X⋅e-r⋅T⋅N</m:t>
          </m:r>
          <m:d>
            <m:dPr>
              <m:ctrlPr>
                <w:rPr>
                  <w:rFonts w:ascii="Cambria Math" w:hAnsi="Cambria Math" w:cs="Arial"/>
                  <w:i/>
                  <w:iCs/>
                </w:rPr>
              </m:ctrlPr>
            </m:dPr>
            <m:e>
              <m:r>
                <w:rPr>
                  <w:rFonts w:ascii="Cambria Math" w:hAnsi="Cambria Math" w:cs="Arial"/>
                </w:rPr>
                <m:t>d2​</m:t>
              </m:r>
              <m:ctrlPr>
                <w:rPr>
                  <w:rFonts w:ascii="Cambria Math" w:hAnsi="Cambria Math" w:cs="Arial"/>
                  <w:i/>
                </w:rPr>
              </m:ctrlPr>
            </m:e>
          </m:d>
        </m:oMath>
      </m:oMathPara>
    </w:p>
    <w:p w14:paraId="0620E4BA" w14:textId="74CC695C" w:rsidR="00B33F55" w:rsidRPr="000A0B33" w:rsidRDefault="00B33F55" w:rsidP="0091716D">
      <w:pPr>
        <w:jc w:val="both"/>
        <w:rPr>
          <w:rFonts w:ascii="Arial" w:hAnsi="Arial" w:cs="Arial"/>
        </w:rPr>
      </w:pPr>
      <w:r w:rsidRPr="000A0B33">
        <w:rPr>
          <w:rFonts w:ascii="Arial" w:hAnsi="Arial" w:cs="Arial"/>
        </w:rPr>
        <w:t>donde:</w:t>
      </w:r>
    </w:p>
    <w:p w14:paraId="36F35A89" w14:textId="3CFD858B" w:rsidR="00B33F55" w:rsidRPr="000A0B33" w:rsidRDefault="00B33F55" w:rsidP="0091716D">
      <w:pPr>
        <w:numPr>
          <w:ilvl w:val="0"/>
          <w:numId w:val="8"/>
        </w:numPr>
        <w:jc w:val="both"/>
        <w:rPr>
          <w:rFonts w:ascii="Arial" w:hAnsi="Arial" w:cs="Arial"/>
        </w:rPr>
      </w:pPr>
      <w:r w:rsidRPr="000A0B33">
        <w:rPr>
          <w:rFonts w:ascii="Arial" w:hAnsi="Arial" w:cs="Arial"/>
        </w:rPr>
        <w:t xml:space="preserve">C = Precio de la opción </w:t>
      </w:r>
      <w:proofErr w:type="spellStart"/>
      <w:r w:rsidRPr="000A0B33">
        <w:rPr>
          <w:rFonts w:ascii="Arial" w:hAnsi="Arial" w:cs="Arial"/>
        </w:rPr>
        <w:t>call</w:t>
      </w:r>
      <w:proofErr w:type="spellEnd"/>
    </w:p>
    <w:p w14:paraId="30E4FEA1" w14:textId="64F9039B" w:rsidR="00B33F55" w:rsidRPr="000A0B33" w:rsidRDefault="00B33F55" w:rsidP="0091716D">
      <w:pPr>
        <w:numPr>
          <w:ilvl w:val="0"/>
          <w:numId w:val="8"/>
        </w:numPr>
        <w:jc w:val="both"/>
        <w:rPr>
          <w:rFonts w:ascii="Arial" w:hAnsi="Arial" w:cs="Arial"/>
        </w:rPr>
      </w:pPr>
      <w:r w:rsidRPr="000A0B33">
        <w:rPr>
          <w:rFonts w:ascii="Arial" w:hAnsi="Arial" w:cs="Arial"/>
        </w:rPr>
        <w:lastRenderedPageBreak/>
        <w:t>S0​ = Precio actual de la acción (30.27 USD)</w:t>
      </w:r>
    </w:p>
    <w:p w14:paraId="5C093D8E" w14:textId="2EAF192B" w:rsidR="00B33F55" w:rsidRPr="000A0B33" w:rsidRDefault="00B33F55" w:rsidP="0091716D">
      <w:pPr>
        <w:numPr>
          <w:ilvl w:val="0"/>
          <w:numId w:val="8"/>
        </w:numPr>
        <w:jc w:val="both"/>
        <w:rPr>
          <w:rFonts w:ascii="Arial" w:hAnsi="Arial" w:cs="Arial"/>
        </w:rPr>
      </w:pPr>
      <w:r w:rsidRPr="000A0B33">
        <w:rPr>
          <w:rFonts w:ascii="Arial" w:hAnsi="Arial" w:cs="Arial"/>
        </w:rPr>
        <w:t>X = Precio de ejercicio (35 USD)</w:t>
      </w:r>
    </w:p>
    <w:p w14:paraId="698B4CF8" w14:textId="5DE851F1" w:rsidR="00B33F55" w:rsidRPr="000A0B33" w:rsidRDefault="00B33F55" w:rsidP="0091716D">
      <w:pPr>
        <w:numPr>
          <w:ilvl w:val="0"/>
          <w:numId w:val="8"/>
        </w:numPr>
        <w:jc w:val="both"/>
        <w:rPr>
          <w:rFonts w:ascii="Arial" w:hAnsi="Arial" w:cs="Arial"/>
        </w:rPr>
      </w:pPr>
      <w:r w:rsidRPr="000A0B33">
        <w:rPr>
          <w:rFonts w:ascii="Arial" w:hAnsi="Arial" w:cs="Arial"/>
        </w:rPr>
        <w:t>T = Tiempo hasta el vencimiento (0.5 años)</w:t>
      </w:r>
    </w:p>
    <w:p w14:paraId="2014C4E0" w14:textId="5EE7E259" w:rsidR="00B33F55" w:rsidRPr="000A0B33" w:rsidRDefault="00B33F55" w:rsidP="0091716D">
      <w:pPr>
        <w:numPr>
          <w:ilvl w:val="0"/>
          <w:numId w:val="8"/>
        </w:numPr>
        <w:jc w:val="both"/>
        <w:rPr>
          <w:rFonts w:ascii="Arial" w:hAnsi="Arial" w:cs="Arial"/>
        </w:rPr>
      </w:pPr>
      <w:r w:rsidRPr="000A0B33">
        <w:rPr>
          <w:rFonts w:ascii="Arial" w:hAnsi="Arial" w:cs="Arial"/>
        </w:rPr>
        <w:t>R = Tasa de interés libre de riesgo (2% anual)</w:t>
      </w:r>
    </w:p>
    <w:p w14:paraId="57D185BD" w14:textId="0DC58FD7" w:rsidR="00B33F55" w:rsidRPr="000A0B33" w:rsidRDefault="00B33F55" w:rsidP="0091716D">
      <w:pPr>
        <w:numPr>
          <w:ilvl w:val="0"/>
          <w:numId w:val="8"/>
        </w:numPr>
        <w:jc w:val="both"/>
        <w:rPr>
          <w:rFonts w:ascii="Arial" w:hAnsi="Arial" w:cs="Arial"/>
        </w:rPr>
      </w:pPr>
      <w:r w:rsidRPr="000A0B33">
        <w:rPr>
          <w:rFonts w:ascii="Arial" w:hAnsi="Arial" w:cs="Arial"/>
        </w:rPr>
        <w:t>σ (sigma) = Volatilidad (29.68 USD)</w:t>
      </w:r>
    </w:p>
    <w:p w14:paraId="1C047EA0" w14:textId="01996536" w:rsidR="00B33F55" w:rsidRPr="000A0B33" w:rsidRDefault="00B33F55" w:rsidP="0091716D">
      <w:pPr>
        <w:numPr>
          <w:ilvl w:val="0"/>
          <w:numId w:val="8"/>
        </w:numPr>
        <w:jc w:val="both"/>
        <w:rPr>
          <w:rFonts w:ascii="Arial" w:hAnsi="Arial" w:cs="Arial"/>
        </w:rPr>
      </w:pPr>
      <w:r w:rsidRPr="000A0B33">
        <w:rPr>
          <w:rFonts w:ascii="Arial" w:hAnsi="Arial" w:cs="Arial"/>
        </w:rPr>
        <w:t>N(d1) y N(d2) = Funciones de distribución acumulativa de la normal estándar</w:t>
      </w:r>
    </w:p>
    <w:p w14:paraId="737A873B" w14:textId="77777777" w:rsidR="00B33F55" w:rsidRPr="000A0B33" w:rsidRDefault="00B33F55" w:rsidP="0091716D">
      <w:pPr>
        <w:jc w:val="both"/>
        <w:rPr>
          <w:rFonts w:ascii="Arial" w:hAnsi="Arial" w:cs="Arial"/>
        </w:rPr>
      </w:pPr>
      <w:r w:rsidRPr="000A0B33">
        <w:rPr>
          <w:rFonts w:ascii="Arial" w:hAnsi="Arial" w:cs="Arial"/>
          <w:b/>
          <w:bCs/>
        </w:rPr>
        <w:t>Cálculos y Resultados</w:t>
      </w:r>
      <w:r w:rsidRPr="000A0B33">
        <w:rPr>
          <w:rFonts w:ascii="Arial" w:hAnsi="Arial" w:cs="Arial"/>
        </w:rPr>
        <w:t>:</w:t>
      </w:r>
    </w:p>
    <w:p w14:paraId="3EA2CABC" w14:textId="7C297942" w:rsidR="00B33F55" w:rsidRPr="000A0B33" w:rsidRDefault="00B33F55" w:rsidP="0091716D">
      <w:pPr>
        <w:numPr>
          <w:ilvl w:val="0"/>
          <w:numId w:val="9"/>
        </w:numPr>
        <w:jc w:val="both"/>
        <w:rPr>
          <w:rFonts w:ascii="Arial" w:hAnsi="Arial" w:cs="Arial"/>
        </w:rPr>
      </w:pPr>
      <w:r w:rsidRPr="000A0B33">
        <w:rPr>
          <w:rFonts w:ascii="Arial" w:hAnsi="Arial" w:cs="Arial"/>
        </w:rPr>
        <w:t xml:space="preserve">Calcular d1 y d2​ usando las fórmulas: </w:t>
      </w:r>
    </w:p>
    <w:p w14:paraId="3BB6D926" w14:textId="5BC3F9D1" w:rsidR="00B33F55" w:rsidRPr="000A0B33" w:rsidRDefault="00B33F55" w:rsidP="0091716D">
      <w:pPr>
        <w:ind w:left="720"/>
        <w:jc w:val="both"/>
        <w:rPr>
          <w:rFonts w:ascii="Arial" w:hAnsi="Arial" w:cs="Arial"/>
        </w:rPr>
      </w:pPr>
      <m:oMathPara>
        <m:oMath>
          <m:r>
            <w:rPr>
              <w:rFonts w:ascii="Cambria Math" w:hAnsi="Cambria Math" w:cs="Arial"/>
            </w:rPr>
            <m:t>d1​=</m:t>
          </m:r>
          <m:f>
            <m:fPr>
              <m:ctrlPr>
                <w:rPr>
                  <w:rFonts w:ascii="Cambria Math" w:hAnsi="Cambria Math" w:cs="Arial"/>
                  <w:i/>
                </w:rPr>
              </m:ctrlPr>
            </m:fPr>
            <m:num>
              <m:r>
                <w:rPr>
                  <w:rFonts w:ascii="Cambria Math" w:hAnsi="Cambria Math" w:cs="Arial"/>
                </w:rPr>
                <m:t>​</m:t>
              </m:r>
              <m:d>
                <m:dPr>
                  <m:ctrlPr>
                    <w:rPr>
                      <w:rFonts w:ascii="Cambria Math" w:hAnsi="Cambria Math" w:cs="Arial"/>
                      <w:i/>
                    </w:rPr>
                  </m:ctrlPr>
                </m:dPr>
                <m:e>
                  <m:r>
                    <w:rPr>
                      <w:rFonts w:ascii="Cambria Math" w:hAnsi="Cambria Math" w:cs="Arial"/>
                    </w:rPr>
                    <m:t>ln</m:t>
                  </m:r>
                  <m:d>
                    <m:dPr>
                      <m:ctrlPr>
                        <w:rPr>
                          <w:rFonts w:ascii="Cambria Math" w:hAnsi="Cambria Math" w:cs="Arial"/>
                          <w:i/>
                        </w:rPr>
                      </m:ctrlPr>
                    </m:dPr>
                    <m:e>
                      <m:f>
                        <m:fPr>
                          <m:ctrlPr>
                            <w:rPr>
                              <w:rFonts w:ascii="Cambria Math" w:hAnsi="Cambria Math" w:cs="Arial"/>
                              <w:i/>
                            </w:rPr>
                          </m:ctrlPr>
                        </m:fPr>
                        <m:num>
                          <m:r>
                            <w:rPr>
                              <w:rFonts w:ascii="Cambria Math" w:hAnsi="Cambria Math" w:cs="Arial"/>
                            </w:rPr>
                            <m:t>S0​</m:t>
                          </m:r>
                        </m:num>
                        <m:den>
                          <m:r>
                            <w:rPr>
                              <w:rFonts w:ascii="Cambria Math" w:hAnsi="Cambria Math" w:cs="Arial"/>
                            </w:rPr>
                            <m:t>X</m:t>
                          </m:r>
                        </m:den>
                      </m:f>
                    </m:e>
                  </m:d>
                  <m:r>
                    <w:rPr>
                      <w:rFonts w:ascii="Cambria Math" w:hAnsi="Cambria Math" w:cs="Arial"/>
                    </w:rPr>
                    <m:t>+</m:t>
                  </m:r>
                  <m:d>
                    <m:dPr>
                      <m:ctrlPr>
                        <w:rPr>
                          <w:rFonts w:ascii="Cambria Math" w:hAnsi="Cambria Math" w:cs="Arial"/>
                          <w:i/>
                        </w:rPr>
                      </m:ctrlPr>
                    </m:dPr>
                    <m:e>
                      <m:r>
                        <w:rPr>
                          <w:rFonts w:ascii="Cambria Math" w:hAnsi="Cambria Math" w:cs="Arial"/>
                        </w:rPr>
                        <m:t>r+</m:t>
                      </m:r>
                      <m:f>
                        <m:fPr>
                          <m:ctrlPr>
                            <w:rPr>
                              <w:rFonts w:ascii="Cambria Math" w:hAnsi="Cambria Math" w:cs="Arial"/>
                              <w:i/>
                            </w:rPr>
                          </m:ctrlPr>
                        </m:fPr>
                        <m:num>
                          <m:sSup>
                            <m:sSupPr>
                              <m:ctrlPr>
                                <w:rPr>
                                  <w:rFonts w:ascii="Cambria Math" w:hAnsi="Cambria Math" w:cs="Arial"/>
                                  <w:i/>
                                  <w:lang w:val="en-US"/>
                                </w:rPr>
                              </m:ctrlPr>
                            </m:sSupPr>
                            <m:e>
                              <m:r>
                                <w:rPr>
                                  <w:rFonts w:ascii="Cambria Math" w:hAnsi="Cambria Math" w:cs="Arial"/>
                                </w:rPr>
                                <m:t>σ</m:t>
                              </m:r>
                              <m:ctrlPr>
                                <w:rPr>
                                  <w:rFonts w:ascii="Cambria Math" w:hAnsi="Cambria Math" w:cs="Arial"/>
                                  <w:i/>
                                </w:rPr>
                              </m:ctrlPr>
                            </m:e>
                            <m:sup>
                              <m:r>
                                <w:rPr>
                                  <w:rFonts w:ascii="Cambria Math" w:hAnsi="Cambria Math" w:cs="Arial"/>
                                </w:rPr>
                                <m:t>2</m:t>
                              </m:r>
                            </m:sup>
                          </m:sSup>
                        </m:num>
                        <m:den>
                          <m:r>
                            <w:rPr>
                              <w:rFonts w:ascii="Cambria Math" w:hAnsi="Cambria Math" w:cs="Arial"/>
                            </w:rPr>
                            <m:t>2</m:t>
                          </m:r>
                        </m:den>
                      </m:f>
                    </m:e>
                  </m:d>
                  <m:r>
                    <w:rPr>
                      <w:rFonts w:ascii="Cambria Math" w:hAnsi="Cambria Math" w:cs="Arial"/>
                    </w:rPr>
                    <m:t xml:space="preserve">⋅T​ </m:t>
                  </m:r>
                </m:e>
              </m:d>
            </m:num>
            <m:den>
              <m:r>
                <w:rPr>
                  <w:rFonts w:ascii="Cambria Math" w:hAnsi="Cambria Math" w:cs="Arial"/>
                </w:rPr>
                <m:t>σ⋅√T</m:t>
              </m:r>
            </m:den>
          </m:f>
          <m:r>
            <w:rPr>
              <w:rFonts w:ascii="Cambria Math" w:hAnsi="Cambria Math" w:cs="Arial"/>
            </w:rPr>
            <m:t>d2=d1-σ⋅√T ​</m:t>
          </m:r>
        </m:oMath>
      </m:oMathPara>
    </w:p>
    <w:p w14:paraId="458FF87A" w14:textId="19465254" w:rsidR="00E64F27" w:rsidRDefault="00B33F55" w:rsidP="0091716D">
      <w:pPr>
        <w:numPr>
          <w:ilvl w:val="0"/>
          <w:numId w:val="9"/>
        </w:numPr>
        <w:jc w:val="both"/>
        <w:rPr>
          <w:rFonts w:ascii="Arial" w:hAnsi="Arial" w:cs="Arial"/>
        </w:rPr>
      </w:pPr>
      <w:r w:rsidRPr="000A0B33">
        <w:rPr>
          <w:rFonts w:ascii="Arial" w:hAnsi="Arial" w:cs="Arial"/>
        </w:rPr>
        <w:t xml:space="preserve">Sustituir d1d_1d1​ y d2d_2d2​ en la fórmula de Black-Scholes para obtener el valor de la opción </w:t>
      </w:r>
      <w:proofErr w:type="spellStart"/>
      <w:r w:rsidRPr="000A0B33">
        <w:rPr>
          <w:rFonts w:ascii="Arial" w:hAnsi="Arial" w:cs="Arial"/>
        </w:rPr>
        <w:t>call</w:t>
      </w:r>
      <w:proofErr w:type="spellEnd"/>
      <w:r w:rsidRPr="000A0B33">
        <w:rPr>
          <w:rFonts w:ascii="Arial" w:hAnsi="Arial" w:cs="Arial"/>
        </w:rPr>
        <w:t>.</w:t>
      </w:r>
    </w:p>
    <w:p w14:paraId="29CC4077" w14:textId="64462941" w:rsidR="009F398E" w:rsidRPr="009F398E" w:rsidRDefault="009F398E" w:rsidP="0091716D">
      <w:pPr>
        <w:spacing w:after="0" w:line="240" w:lineRule="auto"/>
        <w:jc w:val="both"/>
        <w:rPr>
          <w:rFonts w:ascii="Arial" w:eastAsia="Times New Roman" w:hAnsi="Arial" w:cs="Arial"/>
          <w:kern w:val="0"/>
          <w:lang w:eastAsia="es-MX"/>
          <w14:ligatures w14:val="none"/>
        </w:rPr>
      </w:pPr>
      <w:r w:rsidRPr="009F398E">
        <w:rPr>
          <w:rFonts w:ascii="Arial" w:eastAsia="Times New Roman" w:hAnsi="Arial" w:cs="Arial"/>
          <w:kern w:val="0"/>
          <w:lang w:eastAsia="es-MX"/>
          <w14:ligatures w14:val="none"/>
        </w:rPr>
        <w:t xml:space="preserve">Valor de la Opción </w:t>
      </w:r>
      <w:proofErr w:type="spellStart"/>
      <w:r w:rsidRPr="009F398E">
        <w:rPr>
          <w:rFonts w:ascii="Arial" w:eastAsia="Times New Roman" w:hAnsi="Arial" w:cs="Arial"/>
          <w:kern w:val="0"/>
          <w:lang w:eastAsia="es-MX"/>
          <w14:ligatures w14:val="none"/>
        </w:rPr>
        <w:t>Call</w:t>
      </w:r>
      <w:proofErr w:type="spellEnd"/>
      <w:r w:rsidRPr="009F398E">
        <w:rPr>
          <w:rFonts w:ascii="Arial" w:eastAsia="Times New Roman" w:hAnsi="Arial" w:cs="Arial"/>
          <w:kern w:val="0"/>
          <w:lang w:eastAsia="es-MX"/>
          <w14:ligatures w14:val="none"/>
        </w:rPr>
        <w:t xml:space="preserve"> (Modelo Black-Scholes): 67.15 USD</w:t>
      </w:r>
    </w:p>
    <w:p w14:paraId="195B4D90" w14:textId="6A2DD865" w:rsidR="009F398E" w:rsidRDefault="009F398E" w:rsidP="0091716D">
      <w:pPr>
        <w:jc w:val="both"/>
        <w:rPr>
          <w:rFonts w:ascii="Arial" w:eastAsia="Times New Roman" w:hAnsi="Arial" w:cs="Arial"/>
          <w:kern w:val="0"/>
          <w:lang w:eastAsia="es-MX"/>
          <w14:ligatures w14:val="none"/>
        </w:rPr>
      </w:pPr>
      <w:r w:rsidRPr="009F398E">
        <w:rPr>
          <w:rFonts w:ascii="Arial" w:eastAsia="Times New Roman" w:hAnsi="Arial" w:cs="Arial"/>
          <w:kern w:val="0"/>
          <w:lang w:eastAsia="es-MX"/>
          <w14:ligatures w14:val="none"/>
        </w:rPr>
        <w:t xml:space="preserve">Valor de la Opción </w:t>
      </w:r>
      <w:proofErr w:type="spellStart"/>
      <w:r w:rsidRPr="009F398E">
        <w:rPr>
          <w:rFonts w:ascii="Arial" w:eastAsia="Times New Roman" w:hAnsi="Arial" w:cs="Arial"/>
          <w:kern w:val="0"/>
          <w:lang w:eastAsia="es-MX"/>
          <w14:ligatures w14:val="none"/>
        </w:rPr>
        <w:t>Call</w:t>
      </w:r>
      <w:proofErr w:type="spellEnd"/>
      <w:r w:rsidRPr="009F398E">
        <w:rPr>
          <w:rFonts w:ascii="Arial" w:eastAsia="Times New Roman" w:hAnsi="Arial" w:cs="Arial"/>
          <w:kern w:val="0"/>
          <w:lang w:eastAsia="es-MX"/>
          <w14:ligatures w14:val="none"/>
        </w:rPr>
        <w:t xml:space="preserve"> (Modelo Árbol Binomial): 67.15 USD</w:t>
      </w:r>
    </w:p>
    <w:p w14:paraId="2A4C9FF5" w14:textId="77777777" w:rsidR="00611225" w:rsidRPr="00611225" w:rsidRDefault="00611225" w:rsidP="0091716D">
      <w:pPr>
        <w:jc w:val="both"/>
        <w:rPr>
          <w:rFonts w:ascii="Arial" w:eastAsia="Times New Roman" w:hAnsi="Arial" w:cs="Arial"/>
          <w:kern w:val="0"/>
          <w:lang w:eastAsia="es-MX"/>
          <w14:ligatures w14:val="none"/>
        </w:rPr>
      </w:pPr>
      <w:r w:rsidRPr="00611225">
        <w:rPr>
          <w:rFonts w:ascii="Arial" w:eastAsia="Times New Roman" w:hAnsi="Arial" w:cs="Arial"/>
          <w:kern w:val="0"/>
          <w:lang w:eastAsia="es-MX"/>
          <w14:ligatures w14:val="none"/>
        </w:rPr>
        <w:t xml:space="preserve">Además del modelo Black-Scholes, se utilizó el modelo binomial para valorar la opción </w:t>
      </w:r>
      <w:proofErr w:type="spellStart"/>
      <w:r w:rsidRPr="00611225">
        <w:rPr>
          <w:rFonts w:ascii="Arial" w:eastAsia="Times New Roman" w:hAnsi="Arial" w:cs="Arial"/>
          <w:kern w:val="0"/>
          <w:lang w:eastAsia="es-MX"/>
          <w14:ligatures w14:val="none"/>
        </w:rPr>
        <w:t>call</w:t>
      </w:r>
      <w:proofErr w:type="spellEnd"/>
      <w:r w:rsidRPr="00611225">
        <w:rPr>
          <w:rFonts w:ascii="Arial" w:eastAsia="Times New Roman" w:hAnsi="Arial" w:cs="Arial"/>
          <w:kern w:val="0"/>
          <w:lang w:eastAsia="es-MX"/>
          <w14:ligatures w14:val="none"/>
        </w:rPr>
        <w:t xml:space="preserve"> sobre las acciones de </w:t>
      </w:r>
      <w:proofErr w:type="spellStart"/>
      <w:r w:rsidRPr="00611225">
        <w:rPr>
          <w:rFonts w:ascii="Arial" w:eastAsia="Times New Roman" w:hAnsi="Arial" w:cs="Arial"/>
          <w:kern w:val="0"/>
          <w:lang w:eastAsia="es-MX"/>
          <w14:ligatures w14:val="none"/>
        </w:rPr>
        <w:t>Nvidia</w:t>
      </w:r>
      <w:proofErr w:type="spellEnd"/>
      <w:r w:rsidRPr="00611225">
        <w:rPr>
          <w:rFonts w:ascii="Arial" w:eastAsia="Times New Roman" w:hAnsi="Arial" w:cs="Arial"/>
          <w:kern w:val="0"/>
          <w:lang w:eastAsia="es-MX"/>
          <w14:ligatures w14:val="none"/>
        </w:rPr>
        <w:t xml:space="preserve">. Este modelo permite dividir el tiempo hasta el vencimiento en varios pasos y valorar la opción en cada nodo del árbol de precios, lo que ofrece más flexibilidad para modelar escenarios de precios. Utilizando un modelo con 100 pasos, se obtuvo un valor de la opción </w:t>
      </w:r>
      <w:proofErr w:type="spellStart"/>
      <w:r w:rsidRPr="00611225">
        <w:rPr>
          <w:rFonts w:ascii="Arial" w:eastAsia="Times New Roman" w:hAnsi="Arial" w:cs="Arial"/>
          <w:kern w:val="0"/>
          <w:lang w:eastAsia="es-MX"/>
          <w14:ligatures w14:val="none"/>
        </w:rPr>
        <w:t>call</w:t>
      </w:r>
      <w:proofErr w:type="spellEnd"/>
      <w:r w:rsidRPr="00611225">
        <w:rPr>
          <w:rFonts w:ascii="Arial" w:eastAsia="Times New Roman" w:hAnsi="Arial" w:cs="Arial"/>
          <w:kern w:val="0"/>
          <w:lang w:eastAsia="es-MX"/>
          <w14:ligatures w14:val="none"/>
        </w:rPr>
        <w:t xml:space="preserve"> de </w:t>
      </w:r>
      <w:r w:rsidRPr="00611225">
        <w:rPr>
          <w:rFonts w:ascii="Arial" w:eastAsia="Times New Roman" w:hAnsi="Arial" w:cs="Arial"/>
          <w:b/>
          <w:bCs/>
          <w:kern w:val="0"/>
          <w:lang w:eastAsia="es-MX"/>
          <w14:ligatures w14:val="none"/>
        </w:rPr>
        <w:t>67.15 USD</w:t>
      </w:r>
      <w:r w:rsidRPr="00611225">
        <w:rPr>
          <w:rFonts w:ascii="Arial" w:eastAsia="Times New Roman" w:hAnsi="Arial" w:cs="Arial"/>
          <w:kern w:val="0"/>
          <w:lang w:eastAsia="es-MX"/>
          <w14:ligatures w14:val="none"/>
        </w:rPr>
        <w:t>, confirmando la consistencia con el valor obtenido por el modelo de Black-Scholes.</w:t>
      </w:r>
    </w:p>
    <w:p w14:paraId="1962F330" w14:textId="77777777" w:rsidR="0091716D" w:rsidRPr="0091716D" w:rsidRDefault="0091716D" w:rsidP="0091716D">
      <w:pPr>
        <w:jc w:val="both"/>
        <w:rPr>
          <w:rFonts w:ascii="Arial" w:eastAsia="Times New Roman" w:hAnsi="Arial" w:cs="Arial"/>
          <w:b/>
          <w:bCs/>
          <w:kern w:val="0"/>
          <w:lang w:eastAsia="es-MX"/>
          <w14:ligatures w14:val="none"/>
        </w:rPr>
      </w:pPr>
      <w:r w:rsidRPr="0091716D">
        <w:rPr>
          <w:rFonts w:ascii="Arial" w:eastAsia="Times New Roman" w:hAnsi="Arial" w:cs="Arial"/>
          <w:b/>
          <w:bCs/>
          <w:kern w:val="0"/>
          <w:lang w:eastAsia="es-MX"/>
          <w14:ligatures w14:val="none"/>
        </w:rPr>
        <w:t>Incorporación de un Nuevo Activo y Estructura de Retornos:</w:t>
      </w:r>
    </w:p>
    <w:p w14:paraId="04182C38" w14:textId="24B8B1B0" w:rsidR="0091716D" w:rsidRPr="0091716D" w:rsidRDefault="0091716D" w:rsidP="0091716D">
      <w:pPr>
        <w:jc w:val="both"/>
        <w:rPr>
          <w:rFonts w:ascii="Arial" w:eastAsia="Times New Roman" w:hAnsi="Arial" w:cs="Arial"/>
          <w:kern w:val="0"/>
          <w:lang w:eastAsia="es-MX"/>
          <w14:ligatures w14:val="none"/>
        </w:rPr>
      </w:pPr>
      <w:r w:rsidRPr="0091716D">
        <w:rPr>
          <w:rFonts w:ascii="Arial" w:eastAsia="Times New Roman" w:hAnsi="Arial" w:cs="Arial"/>
          <w:kern w:val="0"/>
          <w:lang w:eastAsia="es-MX"/>
          <w14:ligatures w14:val="none"/>
        </w:rPr>
        <w:t xml:space="preserve">Además de la opción </w:t>
      </w:r>
      <w:proofErr w:type="spellStart"/>
      <w:r w:rsidRPr="0091716D">
        <w:rPr>
          <w:rFonts w:ascii="Arial" w:eastAsia="Times New Roman" w:hAnsi="Arial" w:cs="Arial"/>
          <w:kern w:val="0"/>
          <w:lang w:eastAsia="es-MX"/>
          <w14:ligatures w14:val="none"/>
        </w:rPr>
        <w:t>call</w:t>
      </w:r>
      <w:proofErr w:type="spellEnd"/>
      <w:r w:rsidRPr="0091716D">
        <w:rPr>
          <w:rFonts w:ascii="Arial" w:eastAsia="Times New Roman" w:hAnsi="Arial" w:cs="Arial"/>
          <w:kern w:val="0"/>
          <w:lang w:eastAsia="es-MX"/>
          <w14:ligatures w14:val="none"/>
        </w:rPr>
        <w:t xml:space="preserve">, se valoró una opción </w:t>
      </w:r>
      <w:proofErr w:type="spellStart"/>
      <w:r w:rsidRPr="0091716D">
        <w:rPr>
          <w:rFonts w:ascii="Arial" w:eastAsia="Times New Roman" w:hAnsi="Arial" w:cs="Arial"/>
          <w:kern w:val="0"/>
          <w:lang w:eastAsia="es-MX"/>
          <w14:ligatures w14:val="none"/>
        </w:rPr>
        <w:t>put</w:t>
      </w:r>
      <w:proofErr w:type="spellEnd"/>
      <w:r w:rsidRPr="0091716D">
        <w:rPr>
          <w:rFonts w:ascii="Arial" w:eastAsia="Times New Roman" w:hAnsi="Arial" w:cs="Arial"/>
          <w:kern w:val="0"/>
          <w:lang w:eastAsia="es-MX"/>
          <w14:ligatures w14:val="none"/>
        </w:rPr>
        <w:t xml:space="preserve"> utilizando una simulación Monte Carlo. Este método permite modelar los retornos futuros del activo subyacente (</w:t>
      </w:r>
      <w:proofErr w:type="spellStart"/>
      <w:r w:rsidRPr="0091716D">
        <w:rPr>
          <w:rFonts w:ascii="Arial" w:eastAsia="Times New Roman" w:hAnsi="Arial" w:cs="Arial"/>
          <w:kern w:val="0"/>
          <w:lang w:eastAsia="es-MX"/>
          <w14:ligatures w14:val="none"/>
        </w:rPr>
        <w:t>Nvidia</w:t>
      </w:r>
      <w:proofErr w:type="spellEnd"/>
      <w:r w:rsidRPr="0091716D">
        <w:rPr>
          <w:rFonts w:ascii="Arial" w:eastAsia="Times New Roman" w:hAnsi="Arial" w:cs="Arial"/>
          <w:kern w:val="0"/>
          <w:lang w:eastAsia="es-MX"/>
          <w14:ligatures w14:val="none"/>
        </w:rPr>
        <w:t xml:space="preserve">) y su impacto en la valoración de los derivados. La simulación de 10,000 trayectorias de precios futuros arrojó un valor de la opción </w:t>
      </w:r>
      <w:proofErr w:type="spellStart"/>
      <w:r w:rsidRPr="0091716D">
        <w:rPr>
          <w:rFonts w:ascii="Arial" w:eastAsia="Times New Roman" w:hAnsi="Arial" w:cs="Arial"/>
          <w:kern w:val="0"/>
          <w:lang w:eastAsia="es-MX"/>
          <w14:ligatures w14:val="none"/>
        </w:rPr>
        <w:t>put</w:t>
      </w:r>
      <w:proofErr w:type="spellEnd"/>
      <w:r w:rsidRPr="0091716D">
        <w:rPr>
          <w:rFonts w:ascii="Arial" w:eastAsia="Times New Roman" w:hAnsi="Arial" w:cs="Arial"/>
          <w:kern w:val="0"/>
          <w:lang w:eastAsia="es-MX"/>
          <w14:ligatures w14:val="none"/>
        </w:rPr>
        <w:t xml:space="preserve"> de 0.01 USD. Esta estructura de retornos demuestra cómo las fluctuaciones en el precio de las acciones afectan tanto a las opciones </w:t>
      </w:r>
      <w:proofErr w:type="spellStart"/>
      <w:r w:rsidRPr="0091716D">
        <w:rPr>
          <w:rFonts w:ascii="Arial" w:eastAsia="Times New Roman" w:hAnsi="Arial" w:cs="Arial"/>
          <w:kern w:val="0"/>
          <w:lang w:eastAsia="es-MX"/>
          <w14:ligatures w14:val="none"/>
        </w:rPr>
        <w:t>call</w:t>
      </w:r>
      <w:proofErr w:type="spellEnd"/>
      <w:r w:rsidRPr="0091716D">
        <w:rPr>
          <w:rFonts w:ascii="Arial" w:eastAsia="Times New Roman" w:hAnsi="Arial" w:cs="Arial"/>
          <w:kern w:val="0"/>
          <w:lang w:eastAsia="es-MX"/>
          <w14:ligatures w14:val="none"/>
        </w:rPr>
        <w:t xml:space="preserve"> como </w:t>
      </w:r>
      <w:proofErr w:type="spellStart"/>
      <w:r w:rsidRPr="0091716D">
        <w:rPr>
          <w:rFonts w:ascii="Arial" w:eastAsia="Times New Roman" w:hAnsi="Arial" w:cs="Arial"/>
          <w:kern w:val="0"/>
          <w:lang w:eastAsia="es-MX"/>
          <w14:ligatures w14:val="none"/>
        </w:rPr>
        <w:t>put</w:t>
      </w:r>
      <w:proofErr w:type="spellEnd"/>
      <w:r w:rsidRPr="0091716D">
        <w:rPr>
          <w:rFonts w:ascii="Arial" w:eastAsia="Times New Roman" w:hAnsi="Arial" w:cs="Arial"/>
          <w:kern w:val="0"/>
          <w:lang w:eastAsia="es-MX"/>
          <w14:ligatures w14:val="none"/>
        </w:rPr>
        <w:t>.</w:t>
      </w:r>
    </w:p>
    <w:p w14:paraId="5CD54123" w14:textId="77777777" w:rsidR="00611225" w:rsidRDefault="00611225" w:rsidP="009F398E">
      <w:pPr>
        <w:jc w:val="both"/>
        <w:rPr>
          <w:rFonts w:ascii="Arial" w:eastAsia="Times New Roman" w:hAnsi="Arial" w:cs="Arial"/>
          <w:kern w:val="0"/>
          <w:lang w:eastAsia="es-MX"/>
          <w14:ligatures w14:val="none"/>
        </w:rPr>
      </w:pPr>
    </w:p>
    <w:p w14:paraId="4CC8E6A0" w14:textId="77777777" w:rsidR="00611225" w:rsidRPr="00611225" w:rsidRDefault="00611225" w:rsidP="009F398E">
      <w:pPr>
        <w:jc w:val="both"/>
        <w:rPr>
          <w:rFonts w:ascii="Arial" w:hAnsi="Arial" w:cs="Arial"/>
          <w:b/>
          <w:bCs/>
          <w:sz w:val="26"/>
          <w:szCs w:val="26"/>
        </w:rPr>
      </w:pPr>
    </w:p>
    <w:p w14:paraId="23F657D6" w14:textId="77777777" w:rsidR="00611225" w:rsidRPr="00611225" w:rsidRDefault="00611225" w:rsidP="009F398E">
      <w:pPr>
        <w:jc w:val="both"/>
        <w:rPr>
          <w:rFonts w:ascii="Arial" w:hAnsi="Arial" w:cs="Arial"/>
          <w:b/>
          <w:bCs/>
          <w:sz w:val="26"/>
          <w:szCs w:val="26"/>
        </w:rPr>
      </w:pPr>
    </w:p>
    <w:p w14:paraId="261BF4E9" w14:textId="77777777" w:rsidR="00611225" w:rsidRPr="00611225" w:rsidRDefault="00611225" w:rsidP="009F398E">
      <w:pPr>
        <w:jc w:val="both"/>
        <w:rPr>
          <w:rFonts w:ascii="Arial" w:hAnsi="Arial" w:cs="Arial"/>
          <w:b/>
          <w:bCs/>
          <w:sz w:val="26"/>
          <w:szCs w:val="26"/>
        </w:rPr>
      </w:pPr>
    </w:p>
    <w:p w14:paraId="2AB7109B" w14:textId="77777777" w:rsidR="00611225" w:rsidRPr="00611225" w:rsidRDefault="00611225" w:rsidP="009F398E">
      <w:pPr>
        <w:jc w:val="both"/>
        <w:rPr>
          <w:rFonts w:ascii="Arial" w:hAnsi="Arial" w:cs="Arial"/>
          <w:b/>
          <w:bCs/>
          <w:sz w:val="26"/>
          <w:szCs w:val="26"/>
        </w:rPr>
      </w:pPr>
    </w:p>
    <w:p w14:paraId="6DB510E5" w14:textId="77777777" w:rsidR="00611225" w:rsidRPr="00611225" w:rsidRDefault="00611225" w:rsidP="009F398E">
      <w:pPr>
        <w:jc w:val="both"/>
        <w:rPr>
          <w:rFonts w:ascii="Arial" w:hAnsi="Arial" w:cs="Arial"/>
          <w:b/>
          <w:bCs/>
          <w:sz w:val="26"/>
          <w:szCs w:val="26"/>
        </w:rPr>
      </w:pPr>
    </w:p>
    <w:p w14:paraId="753445E1" w14:textId="77777777" w:rsidR="00611225" w:rsidRPr="00611225" w:rsidRDefault="00611225" w:rsidP="009F398E">
      <w:pPr>
        <w:jc w:val="both"/>
        <w:rPr>
          <w:rFonts w:ascii="Arial" w:hAnsi="Arial" w:cs="Arial"/>
          <w:b/>
          <w:bCs/>
          <w:sz w:val="26"/>
          <w:szCs w:val="26"/>
        </w:rPr>
      </w:pPr>
    </w:p>
    <w:p w14:paraId="73C5F95A" w14:textId="523C7A7F" w:rsidR="00611225" w:rsidRPr="00611225" w:rsidRDefault="00611225" w:rsidP="009F398E">
      <w:pPr>
        <w:jc w:val="both"/>
        <w:rPr>
          <w:rFonts w:ascii="Arial" w:hAnsi="Arial" w:cs="Arial"/>
          <w:b/>
          <w:bCs/>
          <w:sz w:val="26"/>
          <w:szCs w:val="26"/>
        </w:rPr>
      </w:pPr>
      <w:r w:rsidRPr="00611225">
        <w:rPr>
          <w:rFonts w:ascii="Arial" w:hAnsi="Arial" w:cs="Arial"/>
          <w:b/>
          <w:bCs/>
          <w:sz w:val="26"/>
          <w:szCs w:val="26"/>
        </w:rPr>
        <w:lastRenderedPageBreak/>
        <w:t>4</w:t>
      </w:r>
      <w:r w:rsidRPr="00611225">
        <w:rPr>
          <w:rFonts w:ascii="Arial" w:hAnsi="Arial" w:cs="Arial"/>
          <w:b/>
          <w:bCs/>
          <w:sz w:val="26"/>
          <w:szCs w:val="26"/>
        </w:rPr>
        <w:t>.</w:t>
      </w:r>
      <w:r w:rsidRPr="00611225">
        <w:rPr>
          <w:rFonts w:ascii="Arial" w:hAnsi="Arial" w:cs="Arial"/>
          <w:b/>
          <w:bCs/>
          <w:sz w:val="26"/>
          <w:szCs w:val="26"/>
        </w:rPr>
        <w:t xml:space="preserve"> Bibliografía</w:t>
      </w:r>
    </w:p>
    <w:p w14:paraId="1171FEDE" w14:textId="02EC3D74" w:rsidR="00611225" w:rsidRPr="00611225" w:rsidRDefault="00611225" w:rsidP="00611225">
      <w:pPr>
        <w:jc w:val="both"/>
        <w:rPr>
          <w:rFonts w:ascii="Arial" w:hAnsi="Arial" w:cs="Arial"/>
          <w:lang w:val="en-US"/>
        </w:rPr>
      </w:pPr>
      <w:proofErr w:type="spellStart"/>
      <w:r w:rsidRPr="00611225">
        <w:rPr>
          <w:rFonts w:ascii="Arial" w:hAnsi="Arial" w:cs="Arial"/>
        </w:rPr>
        <w:t>Brynjolfsson</w:t>
      </w:r>
      <w:proofErr w:type="spellEnd"/>
      <w:r w:rsidRPr="00611225">
        <w:rPr>
          <w:rFonts w:ascii="Arial" w:hAnsi="Arial" w:cs="Arial"/>
        </w:rPr>
        <w:t xml:space="preserve">, E., &amp; McAfee, A. (2014). </w:t>
      </w:r>
      <w:r w:rsidRPr="00611225">
        <w:rPr>
          <w:rFonts w:ascii="Arial" w:hAnsi="Arial" w:cs="Arial"/>
          <w:lang w:val="en-US"/>
        </w:rPr>
        <w:t>The Second Machine Age: Work, Progress, and Prosperity in a Time of Brilliant Technologies. W. W. Norton &amp; Company.</w:t>
      </w:r>
    </w:p>
    <w:p w14:paraId="5D4B3907" w14:textId="026325FB" w:rsidR="00611225" w:rsidRPr="00611225" w:rsidRDefault="00611225" w:rsidP="00611225">
      <w:pPr>
        <w:jc w:val="both"/>
        <w:rPr>
          <w:rFonts w:ascii="Arial" w:hAnsi="Arial" w:cs="Arial"/>
          <w:lang w:val="en-US"/>
        </w:rPr>
      </w:pPr>
      <w:r w:rsidRPr="00611225">
        <w:rPr>
          <w:rFonts w:ascii="Arial" w:hAnsi="Arial" w:cs="Arial"/>
          <w:lang w:val="en-US"/>
        </w:rPr>
        <w:t>Muro, M., &amp; Liu, S. (2020). AI and the Economy: How Artificial Intelligence is Transforming the Workforce. Brookings Institution.</w:t>
      </w:r>
    </w:p>
    <w:p w14:paraId="29D7AC18" w14:textId="48D88EFE" w:rsidR="00611225" w:rsidRPr="00611225" w:rsidRDefault="00611225" w:rsidP="00611225">
      <w:pPr>
        <w:jc w:val="both"/>
        <w:rPr>
          <w:rFonts w:ascii="Arial" w:hAnsi="Arial" w:cs="Arial"/>
          <w:lang w:val="en-US"/>
        </w:rPr>
      </w:pPr>
      <w:r w:rsidRPr="00611225">
        <w:rPr>
          <w:rFonts w:ascii="Arial" w:hAnsi="Arial" w:cs="Arial"/>
          <w:lang w:val="en-US"/>
        </w:rPr>
        <w:t>Venkatesh, V., Morris, M. G., Davis, G. B., &amp; Davis, F. D. (2003). User Acceptance of Information Technology: Toward a Unified View. MIS Quarterly, 27(3), 425-478.</w:t>
      </w:r>
    </w:p>
    <w:p w14:paraId="10523B56" w14:textId="1DACDCF1" w:rsidR="00611225" w:rsidRPr="00611225" w:rsidRDefault="00611225" w:rsidP="00611225">
      <w:pPr>
        <w:jc w:val="both"/>
        <w:rPr>
          <w:rFonts w:ascii="Arial" w:hAnsi="Arial" w:cs="Arial"/>
          <w:lang w:val="en-US"/>
        </w:rPr>
      </w:pPr>
      <w:r w:rsidRPr="00611225">
        <w:rPr>
          <w:rFonts w:ascii="Arial" w:hAnsi="Arial" w:cs="Arial"/>
          <w:lang w:val="en-US"/>
        </w:rPr>
        <w:t>Jouppi, N. P., Young, C., Patil, N., &amp; Patterson, D. (2017). In-Datacenter Performance Analysis of a Tensor Processing Unit. Proceedings of the 44th Annual International Symposium on Computer Architecture (ISCA), 1-12.</w:t>
      </w:r>
    </w:p>
    <w:sectPr w:rsidR="00611225" w:rsidRPr="006112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E7D1F"/>
    <w:multiLevelType w:val="multilevel"/>
    <w:tmpl w:val="6212E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F238D"/>
    <w:multiLevelType w:val="multilevel"/>
    <w:tmpl w:val="03C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E60D5"/>
    <w:multiLevelType w:val="multilevel"/>
    <w:tmpl w:val="1CD4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C01E4"/>
    <w:multiLevelType w:val="multilevel"/>
    <w:tmpl w:val="4F48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E79BA"/>
    <w:multiLevelType w:val="multilevel"/>
    <w:tmpl w:val="6212E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427C51"/>
    <w:multiLevelType w:val="multilevel"/>
    <w:tmpl w:val="0C48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303C99"/>
    <w:multiLevelType w:val="multilevel"/>
    <w:tmpl w:val="E9B2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F23207"/>
    <w:multiLevelType w:val="multilevel"/>
    <w:tmpl w:val="D14C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686B95"/>
    <w:multiLevelType w:val="multilevel"/>
    <w:tmpl w:val="FD84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6A434D"/>
    <w:multiLevelType w:val="multilevel"/>
    <w:tmpl w:val="5B4A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7133C"/>
    <w:multiLevelType w:val="multilevel"/>
    <w:tmpl w:val="392A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56F11"/>
    <w:multiLevelType w:val="multilevel"/>
    <w:tmpl w:val="5E92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FD0B7D"/>
    <w:multiLevelType w:val="multilevel"/>
    <w:tmpl w:val="E9B4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552299">
    <w:abstractNumId w:val="9"/>
  </w:num>
  <w:num w:numId="2" w16cid:durableId="865824894">
    <w:abstractNumId w:val="10"/>
  </w:num>
  <w:num w:numId="3" w16cid:durableId="517472791">
    <w:abstractNumId w:val="7"/>
  </w:num>
  <w:num w:numId="4" w16cid:durableId="2130202901">
    <w:abstractNumId w:val="8"/>
  </w:num>
  <w:num w:numId="5" w16cid:durableId="1913271417">
    <w:abstractNumId w:val="5"/>
  </w:num>
  <w:num w:numId="6" w16cid:durableId="693307315">
    <w:abstractNumId w:val="3"/>
  </w:num>
  <w:num w:numId="7" w16cid:durableId="1666738969">
    <w:abstractNumId w:val="1"/>
  </w:num>
  <w:num w:numId="8" w16cid:durableId="1318923338">
    <w:abstractNumId w:val="11"/>
  </w:num>
  <w:num w:numId="9" w16cid:durableId="152064948">
    <w:abstractNumId w:val="4"/>
  </w:num>
  <w:num w:numId="10" w16cid:durableId="691029795">
    <w:abstractNumId w:val="12"/>
  </w:num>
  <w:num w:numId="11" w16cid:durableId="1879929762">
    <w:abstractNumId w:val="6"/>
  </w:num>
  <w:num w:numId="12" w16cid:durableId="1637680784">
    <w:abstractNumId w:val="0"/>
  </w:num>
  <w:num w:numId="13" w16cid:durableId="388119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55"/>
    <w:rsid w:val="000A0B33"/>
    <w:rsid w:val="000F21E8"/>
    <w:rsid w:val="001F03B8"/>
    <w:rsid w:val="003B45F7"/>
    <w:rsid w:val="004E6E9D"/>
    <w:rsid w:val="00611225"/>
    <w:rsid w:val="008D3567"/>
    <w:rsid w:val="0091716D"/>
    <w:rsid w:val="009F398E"/>
    <w:rsid w:val="00B33F55"/>
    <w:rsid w:val="00B50F20"/>
    <w:rsid w:val="00BC42D1"/>
    <w:rsid w:val="00E64F27"/>
    <w:rsid w:val="00F65D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788E"/>
  <w15:chartTrackingRefBased/>
  <w15:docId w15:val="{6192F454-278C-46DA-ACFA-245E4930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3F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33F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33F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3F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3F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3F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3F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3F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3F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3F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33F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33F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3F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3F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3F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3F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3F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3F55"/>
    <w:rPr>
      <w:rFonts w:eastAsiaTheme="majorEastAsia" w:cstheme="majorBidi"/>
      <w:color w:val="272727" w:themeColor="text1" w:themeTint="D8"/>
    </w:rPr>
  </w:style>
  <w:style w:type="paragraph" w:styleId="Ttulo">
    <w:name w:val="Title"/>
    <w:basedOn w:val="Normal"/>
    <w:next w:val="Normal"/>
    <w:link w:val="TtuloCar"/>
    <w:uiPriority w:val="10"/>
    <w:qFormat/>
    <w:rsid w:val="00B33F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3F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3F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3F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3F55"/>
    <w:pPr>
      <w:spacing w:before="160"/>
      <w:jc w:val="center"/>
    </w:pPr>
    <w:rPr>
      <w:i/>
      <w:iCs/>
      <w:color w:val="404040" w:themeColor="text1" w:themeTint="BF"/>
    </w:rPr>
  </w:style>
  <w:style w:type="character" w:customStyle="1" w:styleId="CitaCar">
    <w:name w:val="Cita Car"/>
    <w:basedOn w:val="Fuentedeprrafopredeter"/>
    <w:link w:val="Cita"/>
    <w:uiPriority w:val="29"/>
    <w:rsid w:val="00B33F55"/>
    <w:rPr>
      <w:i/>
      <w:iCs/>
      <w:color w:val="404040" w:themeColor="text1" w:themeTint="BF"/>
    </w:rPr>
  </w:style>
  <w:style w:type="paragraph" w:styleId="Prrafodelista">
    <w:name w:val="List Paragraph"/>
    <w:basedOn w:val="Normal"/>
    <w:uiPriority w:val="34"/>
    <w:qFormat/>
    <w:rsid w:val="00B33F55"/>
    <w:pPr>
      <w:ind w:left="720"/>
      <w:contextualSpacing/>
    </w:pPr>
  </w:style>
  <w:style w:type="character" w:styleId="nfasisintenso">
    <w:name w:val="Intense Emphasis"/>
    <w:basedOn w:val="Fuentedeprrafopredeter"/>
    <w:uiPriority w:val="21"/>
    <w:qFormat/>
    <w:rsid w:val="00B33F55"/>
    <w:rPr>
      <w:i/>
      <w:iCs/>
      <w:color w:val="0F4761" w:themeColor="accent1" w:themeShade="BF"/>
    </w:rPr>
  </w:style>
  <w:style w:type="paragraph" w:styleId="Citadestacada">
    <w:name w:val="Intense Quote"/>
    <w:basedOn w:val="Normal"/>
    <w:next w:val="Normal"/>
    <w:link w:val="CitadestacadaCar"/>
    <w:uiPriority w:val="30"/>
    <w:qFormat/>
    <w:rsid w:val="00B33F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3F55"/>
    <w:rPr>
      <w:i/>
      <w:iCs/>
      <w:color w:val="0F4761" w:themeColor="accent1" w:themeShade="BF"/>
    </w:rPr>
  </w:style>
  <w:style w:type="character" w:styleId="Referenciaintensa">
    <w:name w:val="Intense Reference"/>
    <w:basedOn w:val="Fuentedeprrafopredeter"/>
    <w:uiPriority w:val="32"/>
    <w:qFormat/>
    <w:rsid w:val="00B33F55"/>
    <w:rPr>
      <w:b/>
      <w:bCs/>
      <w:smallCaps/>
      <w:color w:val="0F4761" w:themeColor="accent1" w:themeShade="BF"/>
      <w:spacing w:val="5"/>
    </w:rPr>
  </w:style>
  <w:style w:type="character" w:styleId="Textodelmarcadordeposicin">
    <w:name w:val="Placeholder Text"/>
    <w:basedOn w:val="Fuentedeprrafopredeter"/>
    <w:uiPriority w:val="99"/>
    <w:semiHidden/>
    <w:rsid w:val="00B33F55"/>
    <w:rPr>
      <w:color w:val="666666"/>
    </w:rPr>
  </w:style>
  <w:style w:type="character" w:styleId="Textoennegrita">
    <w:name w:val="Strong"/>
    <w:basedOn w:val="Fuentedeprrafopredeter"/>
    <w:uiPriority w:val="22"/>
    <w:qFormat/>
    <w:rsid w:val="009F39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08811">
      <w:bodyDiv w:val="1"/>
      <w:marLeft w:val="0"/>
      <w:marRight w:val="0"/>
      <w:marTop w:val="0"/>
      <w:marBottom w:val="0"/>
      <w:divBdr>
        <w:top w:val="none" w:sz="0" w:space="0" w:color="auto"/>
        <w:left w:val="none" w:sz="0" w:space="0" w:color="auto"/>
        <w:bottom w:val="none" w:sz="0" w:space="0" w:color="auto"/>
        <w:right w:val="none" w:sz="0" w:space="0" w:color="auto"/>
      </w:divBdr>
    </w:div>
    <w:div w:id="128281021">
      <w:bodyDiv w:val="1"/>
      <w:marLeft w:val="0"/>
      <w:marRight w:val="0"/>
      <w:marTop w:val="0"/>
      <w:marBottom w:val="0"/>
      <w:divBdr>
        <w:top w:val="none" w:sz="0" w:space="0" w:color="auto"/>
        <w:left w:val="none" w:sz="0" w:space="0" w:color="auto"/>
        <w:bottom w:val="none" w:sz="0" w:space="0" w:color="auto"/>
        <w:right w:val="none" w:sz="0" w:space="0" w:color="auto"/>
      </w:divBdr>
    </w:div>
    <w:div w:id="203250574">
      <w:bodyDiv w:val="1"/>
      <w:marLeft w:val="0"/>
      <w:marRight w:val="0"/>
      <w:marTop w:val="0"/>
      <w:marBottom w:val="0"/>
      <w:divBdr>
        <w:top w:val="none" w:sz="0" w:space="0" w:color="auto"/>
        <w:left w:val="none" w:sz="0" w:space="0" w:color="auto"/>
        <w:bottom w:val="none" w:sz="0" w:space="0" w:color="auto"/>
        <w:right w:val="none" w:sz="0" w:space="0" w:color="auto"/>
      </w:divBdr>
    </w:div>
    <w:div w:id="460878405">
      <w:bodyDiv w:val="1"/>
      <w:marLeft w:val="0"/>
      <w:marRight w:val="0"/>
      <w:marTop w:val="0"/>
      <w:marBottom w:val="0"/>
      <w:divBdr>
        <w:top w:val="none" w:sz="0" w:space="0" w:color="auto"/>
        <w:left w:val="none" w:sz="0" w:space="0" w:color="auto"/>
        <w:bottom w:val="none" w:sz="0" w:space="0" w:color="auto"/>
        <w:right w:val="none" w:sz="0" w:space="0" w:color="auto"/>
      </w:divBdr>
    </w:div>
    <w:div w:id="471749953">
      <w:bodyDiv w:val="1"/>
      <w:marLeft w:val="0"/>
      <w:marRight w:val="0"/>
      <w:marTop w:val="0"/>
      <w:marBottom w:val="0"/>
      <w:divBdr>
        <w:top w:val="none" w:sz="0" w:space="0" w:color="auto"/>
        <w:left w:val="none" w:sz="0" w:space="0" w:color="auto"/>
        <w:bottom w:val="none" w:sz="0" w:space="0" w:color="auto"/>
        <w:right w:val="none" w:sz="0" w:space="0" w:color="auto"/>
      </w:divBdr>
      <w:divsChild>
        <w:div w:id="20220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876824">
      <w:bodyDiv w:val="1"/>
      <w:marLeft w:val="0"/>
      <w:marRight w:val="0"/>
      <w:marTop w:val="0"/>
      <w:marBottom w:val="0"/>
      <w:divBdr>
        <w:top w:val="none" w:sz="0" w:space="0" w:color="auto"/>
        <w:left w:val="none" w:sz="0" w:space="0" w:color="auto"/>
        <w:bottom w:val="none" w:sz="0" w:space="0" w:color="auto"/>
        <w:right w:val="none" w:sz="0" w:space="0" w:color="auto"/>
      </w:divBdr>
      <w:divsChild>
        <w:div w:id="632056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771439">
      <w:bodyDiv w:val="1"/>
      <w:marLeft w:val="0"/>
      <w:marRight w:val="0"/>
      <w:marTop w:val="0"/>
      <w:marBottom w:val="0"/>
      <w:divBdr>
        <w:top w:val="none" w:sz="0" w:space="0" w:color="auto"/>
        <w:left w:val="none" w:sz="0" w:space="0" w:color="auto"/>
        <w:bottom w:val="none" w:sz="0" w:space="0" w:color="auto"/>
        <w:right w:val="none" w:sz="0" w:space="0" w:color="auto"/>
      </w:divBdr>
    </w:div>
    <w:div w:id="924388231">
      <w:bodyDiv w:val="1"/>
      <w:marLeft w:val="0"/>
      <w:marRight w:val="0"/>
      <w:marTop w:val="0"/>
      <w:marBottom w:val="0"/>
      <w:divBdr>
        <w:top w:val="none" w:sz="0" w:space="0" w:color="auto"/>
        <w:left w:val="none" w:sz="0" w:space="0" w:color="auto"/>
        <w:bottom w:val="none" w:sz="0" w:space="0" w:color="auto"/>
        <w:right w:val="none" w:sz="0" w:space="0" w:color="auto"/>
      </w:divBdr>
    </w:div>
    <w:div w:id="975909934">
      <w:bodyDiv w:val="1"/>
      <w:marLeft w:val="0"/>
      <w:marRight w:val="0"/>
      <w:marTop w:val="0"/>
      <w:marBottom w:val="0"/>
      <w:divBdr>
        <w:top w:val="none" w:sz="0" w:space="0" w:color="auto"/>
        <w:left w:val="none" w:sz="0" w:space="0" w:color="auto"/>
        <w:bottom w:val="none" w:sz="0" w:space="0" w:color="auto"/>
        <w:right w:val="none" w:sz="0" w:space="0" w:color="auto"/>
      </w:divBdr>
    </w:div>
    <w:div w:id="1277906726">
      <w:bodyDiv w:val="1"/>
      <w:marLeft w:val="0"/>
      <w:marRight w:val="0"/>
      <w:marTop w:val="0"/>
      <w:marBottom w:val="0"/>
      <w:divBdr>
        <w:top w:val="none" w:sz="0" w:space="0" w:color="auto"/>
        <w:left w:val="none" w:sz="0" w:space="0" w:color="auto"/>
        <w:bottom w:val="none" w:sz="0" w:space="0" w:color="auto"/>
        <w:right w:val="none" w:sz="0" w:space="0" w:color="auto"/>
      </w:divBdr>
    </w:div>
    <w:div w:id="1521503599">
      <w:bodyDiv w:val="1"/>
      <w:marLeft w:val="0"/>
      <w:marRight w:val="0"/>
      <w:marTop w:val="0"/>
      <w:marBottom w:val="0"/>
      <w:divBdr>
        <w:top w:val="none" w:sz="0" w:space="0" w:color="auto"/>
        <w:left w:val="none" w:sz="0" w:space="0" w:color="auto"/>
        <w:bottom w:val="none" w:sz="0" w:space="0" w:color="auto"/>
        <w:right w:val="none" w:sz="0" w:space="0" w:color="auto"/>
      </w:divBdr>
    </w:div>
    <w:div w:id="1568760101">
      <w:bodyDiv w:val="1"/>
      <w:marLeft w:val="0"/>
      <w:marRight w:val="0"/>
      <w:marTop w:val="0"/>
      <w:marBottom w:val="0"/>
      <w:divBdr>
        <w:top w:val="none" w:sz="0" w:space="0" w:color="auto"/>
        <w:left w:val="none" w:sz="0" w:space="0" w:color="auto"/>
        <w:bottom w:val="none" w:sz="0" w:space="0" w:color="auto"/>
        <w:right w:val="none" w:sz="0" w:space="0" w:color="auto"/>
      </w:divBdr>
    </w:div>
    <w:div w:id="1692610265">
      <w:bodyDiv w:val="1"/>
      <w:marLeft w:val="0"/>
      <w:marRight w:val="0"/>
      <w:marTop w:val="0"/>
      <w:marBottom w:val="0"/>
      <w:divBdr>
        <w:top w:val="none" w:sz="0" w:space="0" w:color="auto"/>
        <w:left w:val="none" w:sz="0" w:space="0" w:color="auto"/>
        <w:bottom w:val="none" w:sz="0" w:space="0" w:color="auto"/>
        <w:right w:val="none" w:sz="0" w:space="0" w:color="auto"/>
      </w:divBdr>
    </w:div>
    <w:div w:id="1740404654">
      <w:bodyDiv w:val="1"/>
      <w:marLeft w:val="0"/>
      <w:marRight w:val="0"/>
      <w:marTop w:val="0"/>
      <w:marBottom w:val="0"/>
      <w:divBdr>
        <w:top w:val="none" w:sz="0" w:space="0" w:color="auto"/>
        <w:left w:val="none" w:sz="0" w:space="0" w:color="auto"/>
        <w:bottom w:val="none" w:sz="0" w:space="0" w:color="auto"/>
        <w:right w:val="none" w:sz="0" w:space="0" w:color="auto"/>
      </w:divBdr>
    </w:div>
    <w:div w:id="21265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1059</Words>
  <Characters>5830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Villaseca</dc:creator>
  <cp:keywords/>
  <dc:description/>
  <cp:lastModifiedBy>Matias Villaseca</cp:lastModifiedBy>
  <cp:revision>5</cp:revision>
  <cp:lastPrinted>2024-09-06T22:38:00Z</cp:lastPrinted>
  <dcterms:created xsi:type="dcterms:W3CDTF">2024-09-06T16:25:00Z</dcterms:created>
  <dcterms:modified xsi:type="dcterms:W3CDTF">2024-09-10T12:48:00Z</dcterms:modified>
</cp:coreProperties>
</file>