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B30000"/>
          <w:sz w:val="24"/>
        </w:rPr>
        <w:t>UNIVERSIDAD CÉSAR VALLEJO</w:t>
        <w:br/>
        <w:t>VICERRECTORADO ACADÉMICO – DIRECCIÓN DE UCV VIRTUAL</w:t>
      </w:r>
    </w:p>
    <w:p>
      <w:pPr>
        <w:spacing w:after="560"/>
        <w:jc w:val="center"/>
      </w:pPr>
      <w:r>
        <w:rPr>
          <w:rFonts w:ascii="Calibri" w:hAnsi="Calibri"/>
          <w:i/>
          <w:color w:val="646464"/>
          <w:sz w:val="20"/>
        </w:rPr>
        <w:t>En alianza estratégica con la Dirección Regional de Educación de Loreto (DREL)</w:t>
        <w:br/>
        <w:t>y en el marco de las directrices del Ministerio de Educación (MINEDU)</w:t>
      </w:r>
    </w:p>
    <w:p>
      <w:pPr>
        <w:spacing w:after="120"/>
        <w:jc w:val="center"/>
      </w:pPr>
      <w:r>
        <w:rPr>
          <w:rFonts w:ascii="Calibri" w:hAnsi="Calibri"/>
          <w:b/>
          <w:color w:val="26292E"/>
          <w:sz w:val="28"/>
        </w:rPr>
        <w:t>PROPUESTA DE PROGRAMA FORMATIVO PARA PROMOTORAS EDUCATIVAS COMUNITARIAS</w:t>
      </w:r>
    </w:p>
    <w:p>
      <w:pPr>
        <w:spacing w:after="320"/>
        <w:jc w:val="center"/>
      </w:pPr>
      <w:r>
        <w:rPr>
          <w:rFonts w:ascii="Calibri" w:hAnsi="Calibri"/>
          <w:b/>
          <w:color w:val="B30000"/>
          <w:sz w:val="26"/>
        </w:rPr>
        <w:t>DE LOS PROGRAMAS NO ESCOLARIZADOS DE EDUCACIÓN INICIAL (PRONOEI)</w:t>
      </w: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left w:val="single" w:sz="24" w:space="0" w:color="B30000"/>
              <w:top w:val="none"/>
              <w:right w:val="none"/>
              <w:bottom w:val="none"/>
            </w:tcBorders>
          </w:tcPr>
          <w:p>
            <w:pPr>
              <w:spacing w:after="80"/>
            </w:pPr>
            <w:r>
              <w:rPr>
                <w:rFonts w:ascii="Calibri" w:hAnsi="Calibri"/>
                <w:b/>
                <w:color w:val="B30000"/>
                <w:sz w:val="23"/>
              </w:rPr>
              <w:t>NOMBRE OFICIAL DE LA ESTRATEGIA FORMATIVA:</w:t>
            </w:r>
          </w:p>
          <w:p>
            <w:pPr>
              <w:spacing w:after="0" w:line="276" w:lineRule="auto"/>
            </w:pPr>
            <w:r>
              <w:rPr>
                <w:rFonts w:ascii="Calibri" w:hAnsi="Calibri"/>
                <w:color w:val="282828"/>
                <w:sz w:val="21"/>
              </w:rPr>
              <w:t>“PROMOTORAS QUE DEJAN HUELLA: JUGAR, EXPLORAR Y ACOMPAÑAR PARA APRENDER”</w:t>
              <w:br/>
              <w:t>Desarrollo de Competencias Pedagógicas, Socioemocionales y Comunitarias para la Atención Integral de la Primera Infancia</w:t>
            </w:r>
          </w:p>
        </w:tc>
      </w:tr>
    </w:tbl>
    <w:p>
      <w:pPr>
        <w:spacing w:after="80"/>
      </w:pPr>
    </w:p>
    <w:p>
      <w:pPr>
        <w:spacing w:before="400" w:after="40"/>
        <w:jc w:val="center"/>
      </w:pPr>
      <w:r>
        <w:rPr>
          <w:rFonts w:ascii="Calibri" w:hAnsi="Calibri"/>
          <w:b/>
          <w:color w:val="8B0000"/>
          <w:sz w:val="22"/>
        </w:rPr>
        <w:t>CERTIFICACIÓN OFICIAL:</w:t>
        <w:br/>
        <w:t>120 HORAS ACADÉMICAS LECTIVAS | 5.0 CRÉDITOS UNIVERSITARIOS</w:t>
        <w:br/>
        <w:t>(Conforme al Art. 39° de la Ley Universitaria N.° 30220)</w:t>
      </w:r>
    </w:p>
    <w:p>
      <w:pPr>
        <w:spacing w:before="600"/>
        <w:jc w:val="center"/>
      </w:pPr>
      <w:r>
        <w:rPr>
          <w:rFonts w:ascii="Calibri" w:hAnsi="Calibri"/>
          <w:b/>
          <w:color w:val="787878"/>
          <w:sz w:val="20"/>
        </w:rPr>
        <w:t>PERIODO DE EJECUCIÓN: SEPTIEMBRE – NOVIEMBRE 2026</w:t>
        <w:br/>
        <w:t>LIMA – IQUITOS, PERÚ</w:t>
        <w:br/>
        <w:t>2026</w:t>
      </w:r>
    </w:p>
    <w:p>
      <w:r>
        <w:br w:type="page"/>
      </w:r>
    </w:p>
    <w:p>
      <w:pPr>
        <w:pStyle w:val="Heading1"/>
        <w:keepNext/>
        <w:spacing w:before="280" w:after="120"/>
      </w:pPr>
      <w:r>
        <w:rPr>
          <w:rFonts w:ascii="Calibri" w:hAnsi="Calibri"/>
          <w:b/>
          <w:color w:val="B30000"/>
          <w:sz w:val="32"/>
        </w:rPr>
        <w:t>1. DATOS INFORMATIVOS DEL PROGRAMA</w:t>
      </w:r>
    </w:p>
    <w:tbl>
      <w:tblPr>
        <w:tblW w:type="auto" w:w="0"/>
        <w:tblLook w:firstColumn="1" w:firstRow="1" w:lastColumn="0" w:lastRow="0" w:noHBand="0" w:noVBand="1" w:val="04A0"/>
      </w:tblPr>
      <w:tblGrid>
        <w:gridCol w:w="4680"/>
        <w:gridCol w:w="4680"/>
      </w:tblGrid>
      <w:tr>
        <w:tc>
          <w:tcPr>
            <w:tcW w:type="dxa" w:w="3168"/>
            <w:shd w:fill="FFF5F5"/>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Nombre de la Estrategia:</w:t>
            </w:r>
          </w:p>
        </w:tc>
        <w:tc>
          <w:tcPr>
            <w:tcW w:type="dxa" w:w="6192"/>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PROMOTORAS QUE DEJAN HUELLA: JUGAR, EXPLORAR Y ACOMPAÑAR PARA APRENDER.</w:t>
            </w:r>
          </w:p>
        </w:tc>
      </w:tr>
      <w:tr>
        <w:tc>
          <w:tcPr>
            <w:tcW w:type="dxa" w:w="3168"/>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Entidad Responsable:</w:t>
            </w:r>
          </w:p>
        </w:tc>
        <w:tc>
          <w:tcPr>
            <w:tcW w:type="dxa" w:w="6192"/>
            <w:shd w:fill="FAFAFA"/>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Universidad César Vallejo – Dirección de UCV Virtual y Dirección de Responsabilidad Social Universitaria (RSU).</w:t>
            </w:r>
          </w:p>
        </w:tc>
      </w:tr>
      <w:tr>
        <w:tc>
          <w:tcPr>
            <w:tcW w:type="dxa" w:w="3168"/>
            <w:shd w:fill="FFF5F5"/>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Entidad Aliada:</w:t>
            </w:r>
          </w:p>
        </w:tc>
        <w:tc>
          <w:tcPr>
            <w:tcW w:type="dxa" w:w="6192"/>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Dirección Regional de Educación de Loreto (DREL) – Gob. Regional de Loreto / UGEL Maynas, Alto Amazonas, Loreto-Nauta, Requena y Ucayali-Contamana.</w:t>
            </w:r>
          </w:p>
        </w:tc>
      </w:tr>
      <w:tr>
        <w:tc>
          <w:tcPr>
            <w:tcW w:type="dxa" w:w="3168"/>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Marco Institucional:</w:t>
            </w:r>
          </w:p>
        </w:tc>
        <w:tc>
          <w:tcPr>
            <w:tcW w:type="dxa" w:w="6192"/>
            <w:shd w:fill="FAFAFA"/>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Ministerio de Educación (MINEDU) – Dirección de Educación Inicial (DEI).</w:t>
            </w:r>
          </w:p>
        </w:tc>
      </w:tr>
      <w:tr>
        <w:tc>
          <w:tcPr>
            <w:tcW w:type="dxa" w:w="3168"/>
            <w:shd w:fill="FFF5F5"/>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Población Beneficiaria:</w:t>
            </w:r>
          </w:p>
        </w:tc>
        <w:tc>
          <w:tcPr>
            <w:tcW w:type="dxa" w:w="6192"/>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1,200 Promotoras Educativas Comunitarias (PEC) y 80 Profesoras Coordinadoras (PC) de los PRONOEI públicos.</w:t>
            </w:r>
          </w:p>
        </w:tc>
      </w:tr>
      <w:tr>
        <w:tc>
          <w:tcPr>
            <w:tcW w:type="dxa" w:w="3168"/>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Periodo de Ejecución:</w:t>
            </w:r>
          </w:p>
        </w:tc>
        <w:tc>
          <w:tcPr>
            <w:tcW w:type="dxa" w:w="6192"/>
            <w:shd w:fill="FAFAFA"/>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Del 07 de septiembre al 27 de noviembre de 2026 (12 semanas lectivas efectivas).</w:t>
            </w:r>
          </w:p>
        </w:tc>
      </w:tr>
      <w:tr>
        <w:tc>
          <w:tcPr>
            <w:tcW w:type="dxa" w:w="3168"/>
            <w:shd w:fill="FFF5F5"/>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Modalidad de Entrega:</w:t>
            </w:r>
          </w:p>
        </w:tc>
        <w:tc>
          <w:tcPr>
            <w:tcW w:type="dxa" w:w="6192"/>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Semipresencial / B-Learning contextualizado (Talleres vivenciales presenciales descentralizados + Campus Virtual ligero WarmiClass + Círculos de interaprendizaje).</w:t>
            </w:r>
          </w:p>
        </w:tc>
      </w:tr>
      <w:tr>
        <w:tc>
          <w:tcPr>
            <w:tcW w:type="dxa" w:w="3168"/>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Carga Horaria y Créditos:</w:t>
            </w:r>
          </w:p>
        </w:tc>
        <w:tc>
          <w:tcPr>
            <w:tcW w:type="dxa" w:w="6192"/>
            <w:shd w:fill="FAFAFA"/>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120 Horas Académicas Lectivas equivalentes a 5.0 Créditos Académicos (Ley Universitaria N.° 30220).</w:t>
            </w:r>
          </w:p>
        </w:tc>
      </w:tr>
      <w:tr>
        <w:tc>
          <w:tcPr>
            <w:tcW w:type="dxa" w:w="3168"/>
            <w:shd w:fill="FFF5F5"/>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Ámbito Territorial:</w:t>
            </w:r>
          </w:p>
        </w:tc>
        <w:tc>
          <w:tcPr>
            <w:tcW w:type="dxa" w:w="6192"/>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Regional: Región Loreto (Focalizado en zonas ribereñas, rurales y periurbanas de las 5 provincias prioritarias).</w:t>
            </w:r>
          </w:p>
        </w:tc>
      </w:tr>
      <w:tr>
        <w:tc>
          <w:tcPr>
            <w:tcW w:type="dxa" w:w="3168"/>
            <w:shd w:fill="FFFFFF"/>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b/>
                <w:color w:val="8B0000"/>
                <w:sz w:val="19"/>
              </w:rPr>
              <w:t>Producto Final Acreditable:</w:t>
            </w:r>
          </w:p>
        </w:tc>
        <w:tc>
          <w:tcPr>
            <w:tcW w:type="dxa" w:w="6192"/>
            <w:shd w:fill="FAFAFA"/>
            <w:tcMar>
              <w:top w:w="70" w:type="dxa"/>
              <w:bottom w:w="70" w:type="dxa"/>
              <w:left w:w="100" w:type="dxa"/>
              <w:right w:w="100" w:type="dxa"/>
            </w:tcMar>
            <w:tcBorders>
              <w:top w:val="single" w:sz="4" w:space="0" w:color="E2D5D5"/>
              <w:bottom w:val="single" w:sz="4" w:space="0" w:color="E2D5D5"/>
              <w:left w:val="single" w:sz="4" w:space="0" w:color="E2D5D5"/>
              <w:right w:val="single" w:sz="4" w:space="0" w:color="E2D5D5"/>
            </w:tcBorders>
          </w:tcPr>
          <w:p>
            <w:r>
              <w:rPr>
                <w:rFonts w:ascii="Calibri" w:hAnsi="Calibri"/>
                <w:sz w:val="19"/>
              </w:rPr>
              <w:t>Portafolio Pedagógico de la Promotora Educativa Comunitaria (con sustentación y rúbrica de desempeño).</w:t>
            </w:r>
          </w:p>
        </w:tc>
      </w:tr>
    </w:tbl>
    <w:p>
      <w:pPr>
        <w:spacing w:after="120"/>
      </w:pPr>
    </w:p>
    <w:p>
      <w:pPr>
        <w:pStyle w:val="Heading1"/>
        <w:keepNext/>
        <w:spacing w:before="280" w:after="120"/>
      </w:pPr>
      <w:r>
        <w:rPr>
          <w:rFonts w:ascii="Calibri" w:hAnsi="Calibri"/>
          <w:b/>
          <w:color w:val="B30000"/>
          <w:sz w:val="32"/>
        </w:rPr>
        <w:t>2. PRESENTACIÓN Y JUSTIFICACIÓN</w:t>
      </w:r>
    </w:p>
    <w:p>
      <w:pPr>
        <w:spacing w:after="120" w:line="276" w:lineRule="auto"/>
      </w:pPr>
      <w:r>
        <w:rPr>
          <w:rFonts w:ascii="Calibri" w:hAnsi="Calibri"/>
          <w:i w:val="0"/>
          <w:color w:val="323232"/>
          <w:sz w:val="22"/>
        </w:rPr>
        <w:t>La primera infancia constituye la etapa más decisiva y sensible del desarrollo humano. Durante los primeros cinco años de vida se construyen los cimientos de la arquitectura cerebral, la identidad, la seguridad afectiva, la autonomía y el deseo permanente de aprender. En el Perú, los Programas No Escolarizados de Educación Inicial (PRONOEI) cumplen más de cinco décadas acercando educación gratuita, pertinente e inclusiva a más de 148,000 niñas y niños, predominantemente en zonas rurales, de selva y periferias urbanas de extrema vulnerabilidad.</w:t>
      </w:r>
    </w:p>
    <w:p>
      <w:pPr>
        <w:spacing w:after="120" w:line="276" w:lineRule="auto"/>
      </w:pPr>
      <w:r>
        <w:rPr>
          <w:rFonts w:ascii="Calibri" w:hAnsi="Calibri"/>
          <w:i w:val="0"/>
          <w:color w:val="323232"/>
          <w:sz w:val="22"/>
        </w:rPr>
        <w:t>En el corazón de este servicio late la vocación de las Promotoras Educativas Comunitarias (PEC). Ellas son mujeres, madres y líderes comunitarias que acogen cotidianamente a la niñez en sus Salas de Estimulación Temprana (Ciclo I: 0 a 2 años) y módulos de educación inicial (Ciclo II: 3 a 5 años). No obstante, históricamente las promotoras han enfrentado una profunda brecha de profesionalización, materiales pedagógicos y aislamiento geográfico, recibiendo capacitaciones esporádicas y eminentemente teóricas que no dialogaban con su contexto.</w:t>
      </w:r>
    </w:p>
    <w:p>
      <w:pPr>
        <w:spacing w:after="120" w:line="276" w:lineRule="auto"/>
      </w:pPr>
      <w:r>
        <w:rPr>
          <w:rFonts w:ascii="Calibri" w:hAnsi="Calibri"/>
          <w:i w:val="0"/>
          <w:color w:val="323232"/>
          <w:sz w:val="22"/>
        </w:rPr>
        <w:t>El programa “PROMOTORAS QUE DEJAN HUELLA: JUGAR, EXPLORAR Y ACOMPAÑAR PARA APRENDER”, propuesto por UCV Virtual en estrecha articulación con la Dirección Regional de Educación de Loreto (DREL), nace para saldar esa deuda histórica. Diseñado bajo un modelo andragógico cálido, empoderador y flexible inspirado en la experiencia de WarmiClass, el programa dignifica a la promotora como una auténtica mediadora pedagógica y articuladora comunitaria, capaz de convertir cada interacción cotidiana, cada juego y cada recurso de su entorno en una poderosa oportunidad de aprendizaje.</w:t>
      </w: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left w:val="single" w:sz="24" w:space="0" w:color="B30000"/>
              <w:top w:val="none"/>
              <w:right w:val="none"/>
              <w:bottom w:val="none"/>
            </w:tcBorders>
          </w:tcPr>
          <w:p>
            <w:pPr>
              <w:spacing w:after="80"/>
            </w:pPr>
            <w:r>
              <w:rPr>
                <w:rFonts w:ascii="Calibri" w:hAnsi="Calibri"/>
                <w:b/>
                <w:color w:val="B30000"/>
                <w:sz w:val="23"/>
              </w:rPr>
              <w:t>EJE ARTICULADOR DE LA PRÁCTICA FORMATIVA:</w:t>
            </w:r>
          </w:p>
          <w:p>
            <w:pPr>
              <w:spacing w:after="0" w:line="276" w:lineRule="auto"/>
            </w:pPr>
            <w:r>
              <w:rPr>
                <w:rFonts w:ascii="Calibri" w:hAnsi="Calibri"/>
                <w:color w:val="282828"/>
                <w:sz w:val="21"/>
              </w:rPr>
              <w:t>1. Observar para comprender: Mirada atenta y registro sensible de las necesidades, ritmos y fortalezas de cada niño.</w:t>
              <w:br/>
              <w:t>2. Planificar para responder: Diseño de experiencias significativas y lúdicas contextualizadas al entorno sociocultural.</w:t>
              <w:br/>
              <w:t>3. Acompañar para aprender: Mediación afectiva y respetuosa basada en el juego libre y la exploración sin limitar.</w:t>
              <w:br/>
              <w:t>4. Evaluar para mejorar: Reflexión continua sobre la propia práctica junto a la Profesora Coordinadora.</w:t>
            </w:r>
          </w:p>
        </w:tc>
      </w:tr>
    </w:tbl>
    <w:p>
      <w:pPr>
        <w:spacing w:after="80"/>
      </w:pPr>
    </w:p>
    <w:p>
      <w:pPr>
        <w:pStyle w:val="Heading1"/>
        <w:keepNext/>
        <w:spacing w:before="280" w:after="120"/>
      </w:pPr>
      <w:r>
        <w:rPr>
          <w:rFonts w:ascii="Calibri" w:hAnsi="Calibri"/>
          <w:b/>
          <w:color w:val="B30000"/>
          <w:sz w:val="32"/>
        </w:rPr>
        <w:t>3. MARCO NORMATIVO VIGENTE (2025 – 2026)</w:t>
      </w:r>
    </w:p>
    <w:p>
      <w:pPr>
        <w:spacing w:after="120" w:line="276" w:lineRule="auto"/>
      </w:pPr>
      <w:r>
        <w:rPr>
          <w:rFonts w:ascii="Calibri" w:hAnsi="Calibri"/>
          <w:i w:val="0"/>
          <w:color w:val="323232"/>
          <w:sz w:val="22"/>
        </w:rPr>
        <w:t>El programa se fundamenta estrictamente en el marco legal, curricular y técnico del sistema educativo peruano:</w:t>
      </w:r>
    </w:p>
    <w:p>
      <w:pPr>
        <w:spacing w:after="80" w:line="276" w:lineRule="auto"/>
      </w:pPr>
      <w:r>
        <w:rPr>
          <w:rFonts w:ascii="Calibri" w:hAnsi="Calibri"/>
          <w:b/>
          <w:color w:val="26292E"/>
          <w:sz w:val="22"/>
        </w:rPr>
        <w:t>• Resolución Viceministerial N.° 081-2025-MINEDU:</w:t>
      </w:r>
      <w:r>
        <w:rPr>
          <w:rFonts w:ascii="Calibri" w:hAnsi="Calibri"/>
          <w:i w:val="0"/>
          <w:color w:val="323232"/>
          <w:sz w:val="22"/>
        </w:rPr>
        <w:t xml:space="preserve"> Principal norma técnica específica vigente que aprueba las “Disposiciones que regulan la gestión, condiciones de funcionamiento y ordenamiento de los Programas No Escolarizados de Educación Inicial – PRONOEI públicos”. Deroga expresamente la RVM N.° 036-2015-MINEDU y establece el marco operativo y funcional actual.</w:t>
      </w:r>
    </w:p>
    <w:p>
      <w:pPr>
        <w:spacing w:after="80" w:line="276" w:lineRule="auto"/>
      </w:pPr>
      <w:r>
        <w:rPr>
          <w:rFonts w:ascii="Calibri" w:hAnsi="Calibri"/>
          <w:b/>
          <w:color w:val="26292E"/>
          <w:sz w:val="22"/>
        </w:rPr>
        <w:t>• Resolución Viceministerial N.° 127-2026-MINEDU (Publicada el 06 de julio de 2026):</w:t>
      </w:r>
      <w:r>
        <w:rPr>
          <w:rFonts w:ascii="Calibri" w:hAnsi="Calibri"/>
          <w:i w:val="0"/>
          <w:color w:val="323232"/>
          <w:sz w:val="22"/>
        </w:rPr>
        <w:t xml:space="preserve"> Aprueba los “Protocolos para la atención de casos de violencia contra los niños de los PRONOEI públicos de educación inicial”. Constituye el mandato legal prioritario para el Módulo 6 del programa, garantizando entornos seguros, detección oportuna, buen trato y rutas de derivación institucional.</w:t>
      </w:r>
    </w:p>
    <w:p>
      <w:pPr>
        <w:spacing w:after="80" w:line="276" w:lineRule="auto"/>
      </w:pPr>
      <w:r>
        <w:rPr>
          <w:rFonts w:ascii="Calibri" w:hAnsi="Calibri"/>
          <w:b/>
          <w:color w:val="26292E"/>
          <w:sz w:val="22"/>
        </w:rPr>
        <w:t>• Ley N.° 30220 – Ley Universitaria (Art. 39°):</w:t>
      </w:r>
      <w:r>
        <w:rPr>
          <w:rFonts w:ascii="Calibri" w:hAnsi="Calibri"/>
          <w:i w:val="0"/>
          <w:color w:val="323232"/>
          <w:sz w:val="22"/>
        </w:rPr>
        <w:t xml:space="preserve"> Regula el régimen de estudios, educación continua y el creditaje académico oficial en el Perú: establece taxativamente que un (1) crédito teórico equivale a 16 horas lectivas y un (1) crédito práctico equivale a 32 horas lectivas. Sustenta la certificación de 120 horas / 5 créditos.</w:t>
      </w:r>
    </w:p>
    <w:p>
      <w:pPr>
        <w:spacing w:after="80" w:line="276" w:lineRule="auto"/>
      </w:pPr>
      <w:r>
        <w:rPr>
          <w:rFonts w:ascii="Calibri" w:hAnsi="Calibri"/>
          <w:b/>
          <w:color w:val="26292E"/>
          <w:sz w:val="22"/>
        </w:rPr>
        <w:t>• Ley N.° 28044 – Ley General de Educación y su Reglamento D.S. N.° 011-2012-ED:</w:t>
      </w:r>
      <w:r>
        <w:rPr>
          <w:rFonts w:ascii="Calibri" w:hAnsi="Calibri"/>
          <w:i w:val="0"/>
          <w:color w:val="323232"/>
          <w:sz w:val="22"/>
        </w:rPr>
        <w:t xml:space="preserve"> Establece los principios de equidad, inclusión, calidad, interculturalidad y la corresponsabilidad compartida entre Estado, familia y comunidad en la Educación Básica Regular.</w:t>
      </w:r>
    </w:p>
    <w:p>
      <w:pPr>
        <w:spacing w:after="80" w:line="276" w:lineRule="auto"/>
      </w:pPr>
      <w:r>
        <w:rPr>
          <w:rFonts w:ascii="Calibri" w:hAnsi="Calibri"/>
          <w:b/>
          <w:color w:val="26292E"/>
          <w:sz w:val="22"/>
        </w:rPr>
        <w:t>• Ley N.° 30466:</w:t>
      </w:r>
      <w:r>
        <w:rPr>
          <w:rFonts w:ascii="Calibri" w:hAnsi="Calibri"/>
          <w:i w:val="0"/>
          <w:color w:val="323232"/>
          <w:sz w:val="22"/>
        </w:rPr>
        <w:t xml:space="preserve"> Ley que establece parámetros y garantías procesales para la consideración primordial del Interés Superior del Niño en toda política y programa educativo.</w:t>
      </w:r>
    </w:p>
    <w:p>
      <w:pPr>
        <w:spacing w:after="80" w:line="276" w:lineRule="auto"/>
      </w:pPr>
      <w:r>
        <w:rPr>
          <w:rFonts w:ascii="Calibri" w:hAnsi="Calibri"/>
          <w:b/>
          <w:color w:val="26292E"/>
          <w:sz w:val="22"/>
        </w:rPr>
        <w:t>• Decreto Supremo N.° 007-2021-MINEDU y Marco DUA 3.0:</w:t>
      </w:r>
      <w:r>
        <w:rPr>
          <w:rFonts w:ascii="Calibri" w:hAnsi="Calibri"/>
          <w:i w:val="0"/>
          <w:color w:val="323232"/>
          <w:sz w:val="22"/>
        </w:rPr>
        <w:t xml:space="preserve"> Modifica el Reglamento de la Ley General de Educación en materia de Educación Inclusiva, disponiendo la eliminación de barreras para el aprendizaje mediante el Diseño Universal para el Aprendizaje.</w:t>
      </w:r>
    </w:p>
    <w:p>
      <w:pPr>
        <w:spacing w:after="80" w:line="276" w:lineRule="auto"/>
      </w:pPr>
      <w:r>
        <w:rPr>
          <w:rFonts w:ascii="Calibri" w:hAnsi="Calibri"/>
          <w:b/>
          <w:color w:val="26292E"/>
          <w:sz w:val="22"/>
        </w:rPr>
        <w:t>• Decreto Supremo N.° 008-2021-MIMP:</w:t>
      </w:r>
      <w:r>
        <w:rPr>
          <w:rFonts w:ascii="Calibri" w:hAnsi="Calibri"/>
          <w:i w:val="0"/>
          <w:color w:val="323232"/>
          <w:sz w:val="22"/>
        </w:rPr>
        <w:t xml:space="preserve"> Política Nacional Multisectorial para las Niñas, Niños y Adolescentes al 2030, orientando la acción estatal a la supervivencia, desarrollo integral y protección contra toda forma de violencia.</w:t>
      </w:r>
    </w:p>
    <w:p>
      <w:pPr>
        <w:spacing w:after="80" w:line="276" w:lineRule="auto"/>
      </w:pPr>
      <w:r>
        <w:rPr>
          <w:rFonts w:ascii="Calibri" w:hAnsi="Calibri"/>
          <w:b/>
          <w:color w:val="26292E"/>
          <w:sz w:val="22"/>
        </w:rPr>
        <w:t>• Decreto Supremo N.° 010-2016-MIDIS:</w:t>
      </w:r>
      <w:r>
        <w:rPr>
          <w:rFonts w:ascii="Calibri" w:hAnsi="Calibri"/>
          <w:i w:val="0"/>
          <w:color w:val="323232"/>
          <w:sz w:val="22"/>
        </w:rPr>
        <w:t xml:space="preserve"> Lineamientos de Gestión Intersectorial “Primero la Infancia”, priorizando el Desarrollo Infantil Temprano (DIT) en el marco del paquete integrado de servicios.</w:t>
      </w:r>
    </w:p>
    <w:p>
      <w:pPr>
        <w:spacing w:after="80" w:line="276" w:lineRule="auto"/>
      </w:pPr>
      <w:r>
        <w:rPr>
          <w:rFonts w:ascii="Calibri" w:hAnsi="Calibri"/>
          <w:b/>
          <w:color w:val="26292E"/>
          <w:sz w:val="22"/>
        </w:rPr>
        <w:t>• Ley N.° 29735 – Ley de Lenguas Originarias del Perú:</w:t>
      </w:r>
      <w:r>
        <w:rPr>
          <w:rFonts w:ascii="Calibri" w:hAnsi="Calibri"/>
          <w:i w:val="0"/>
          <w:color w:val="323232"/>
          <w:sz w:val="22"/>
        </w:rPr>
        <w:t xml:space="preserve"> Garantiza el ejercicio de los derechos lingüísticos individuales y colectivos de la niñez indígena en los PRONOEI de contextos interculturales bilingües (EIB).</w:t>
      </w:r>
    </w:p>
    <w:p>
      <w:pPr>
        <w:spacing w:after="80" w:line="276" w:lineRule="auto"/>
      </w:pPr>
      <w:r>
        <w:rPr>
          <w:rFonts w:ascii="Calibri" w:hAnsi="Calibri"/>
          <w:b/>
          <w:color w:val="26292E"/>
          <w:sz w:val="22"/>
        </w:rPr>
        <w:t>• Currículo Nacional de la Educación Básica (CNEB) y R.M. N.° 501-2025-MINEDU:</w:t>
      </w:r>
      <w:r>
        <w:rPr>
          <w:rFonts w:ascii="Calibri" w:hAnsi="Calibri"/>
          <w:i w:val="0"/>
          <w:color w:val="323232"/>
          <w:sz w:val="22"/>
        </w:rPr>
        <w:t xml:space="preserve"> Establece el perfil de egreso, competencias para el ciclo I y II, enfoques transversales y orientaciones pedagógicas para el año lectivo 2026.</w:t>
      </w:r>
    </w:p>
    <w:p>
      <w:pPr>
        <w:pStyle w:val="Heading1"/>
        <w:keepNext/>
        <w:spacing w:before="280" w:after="120"/>
      </w:pPr>
      <w:r>
        <w:rPr>
          <w:rFonts w:ascii="Calibri" w:hAnsi="Calibri"/>
          <w:b/>
          <w:color w:val="B30000"/>
          <w:sz w:val="32"/>
        </w:rPr>
        <w:t>4. OBJETIVOS DEL PROGRAMA</w:t>
      </w:r>
    </w:p>
    <w:p>
      <w:pPr>
        <w:spacing w:after="120" w:line="276" w:lineRule="auto"/>
      </w:pPr>
      <w:r>
        <w:rPr>
          <w:rFonts w:ascii="Calibri" w:hAnsi="Calibri"/>
          <w:b/>
          <w:color w:val="26292E"/>
          <w:sz w:val="22"/>
        </w:rPr>
        <w:t xml:space="preserve">4.1 Objetivo General: </w:t>
      </w:r>
      <w:r>
        <w:rPr>
          <w:rFonts w:ascii="Calibri" w:hAnsi="Calibri"/>
          <w:i w:val="0"/>
          <w:color w:val="323232"/>
          <w:sz w:val="22"/>
        </w:rPr>
        <w:t>Fortalecer de manera integral las competencias pedagógicas, socioemocionales, inclusivas y comunitarias de las Promotoras Educativas Comunitarias (PEC) de los PRONOEI en la Región Loreto, dotándolas de herramientas prácticas y metodológicas para transformar su servicio en un espacio seguro, afectivo, pertinente e intercultural donde los niños y niñas aprendan y se desarrollen a través del juego y la exploración.</w:t>
      </w:r>
    </w:p>
    <w:p>
      <w:pPr>
        <w:spacing w:after="120" w:line="276" w:lineRule="auto"/>
      </w:pPr>
      <w:r>
        <w:rPr>
          <w:rFonts w:ascii="Calibri" w:hAnsi="Calibri"/>
          <w:b/>
          <w:color w:val="26292E"/>
          <w:sz w:val="22"/>
        </w:rPr>
        <w:t xml:space="preserve">4.2 Objetivos Específicos: </w:t>
      </w:r>
      <w:r>
        <w:rPr>
          <w:rFonts w:ascii="Calibri" w:hAnsi="Calibri"/>
          <w:i w:val="0"/>
          <w:color w:val="323232"/>
          <w:sz w:val="22"/>
        </w:rPr>
        <w:t>Los objetivos específicos se articulan directamente a los seis módulos temáticos:</w:t>
      </w:r>
    </w:p>
    <w:p>
      <w:pPr>
        <w:spacing w:after="60" w:line="276" w:lineRule="auto"/>
      </w:pPr>
      <w:r>
        <w:rPr>
          <w:rFonts w:ascii="Calibri" w:hAnsi="Calibri"/>
          <w:i w:val="0"/>
          <w:color w:val="323232"/>
          <w:sz w:val="22"/>
        </w:rPr>
        <w:t>OE1. Revalorar la identidad y el rol pedagógico-social de la PEC, afianzando la ética profesional, el liderazgo comunitario y la articulación técnica con la Profesora Coordinadora (PC).</w:t>
      </w:r>
    </w:p>
    <w:p>
      <w:pPr>
        <w:spacing w:after="60" w:line="276" w:lineRule="auto"/>
      </w:pPr>
      <w:r>
        <w:rPr>
          <w:rFonts w:ascii="Calibri" w:hAnsi="Calibri"/>
          <w:i w:val="0"/>
          <w:color w:val="323232"/>
          <w:sz w:val="22"/>
        </w:rPr>
        <w:t>OE2. Profundizar la comprensión de los hitos y procesos del desarrollo infantil temprano (0 a 5 años), distinguiendo con precisión las necesidades de apego y cuidados en Ciclo I y autonomía en Ciclo II.</w:t>
      </w:r>
    </w:p>
    <w:p>
      <w:pPr>
        <w:spacing w:after="60" w:line="276" w:lineRule="auto"/>
      </w:pPr>
      <w:r>
        <w:rPr>
          <w:rFonts w:ascii="Calibri" w:hAnsi="Calibri"/>
          <w:i w:val="0"/>
          <w:color w:val="323232"/>
          <w:sz w:val="22"/>
        </w:rPr>
        <w:t>OE3. Potenciar el juego libre, el juego simbólico, el movimiento y el uso creativo de materiales no estructurados de la comunidad como estrategias centrales para el logro de competencias.</w:t>
      </w:r>
    </w:p>
    <w:p>
      <w:pPr>
        <w:spacing w:after="60" w:line="276" w:lineRule="auto"/>
      </w:pPr>
      <w:r>
        <w:rPr>
          <w:rFonts w:ascii="Calibri" w:hAnsi="Calibri"/>
          <w:i w:val="0"/>
          <w:color w:val="323232"/>
          <w:sz w:val="22"/>
        </w:rPr>
        <w:t>OE4. Desarrollar capacidades prácticas para la planificación contextualizada de experiencias de aprendizaje flexibles, articuladas al CNEB y orientadas a situaciones significativas de la vida diaria.</w:t>
      </w:r>
    </w:p>
    <w:p>
      <w:pPr>
        <w:spacing w:after="60" w:line="276" w:lineRule="auto"/>
      </w:pPr>
      <w:r>
        <w:rPr>
          <w:rFonts w:ascii="Calibri" w:hAnsi="Calibri"/>
          <w:i w:val="0"/>
          <w:color w:val="323232"/>
          <w:sz w:val="22"/>
        </w:rPr>
        <w:t>OE5. Implementar estrategias de atención a la diversidad e inclusión educativa sustentadas en las directrices del Diseño Universal para el Aprendizaje (DUA 3.0), eliminando barreras de acceso y participación.</w:t>
      </w:r>
    </w:p>
    <w:p>
      <w:pPr>
        <w:spacing w:after="60" w:line="276" w:lineRule="auto"/>
      </w:pPr>
      <w:r>
        <w:rPr>
          <w:rFonts w:ascii="Calibri" w:hAnsi="Calibri"/>
          <w:i w:val="0"/>
          <w:color w:val="323232"/>
          <w:sz w:val="22"/>
        </w:rPr>
        <w:t>OE6. Consolidar competencias socioemocionales para la contención afectiva, la crianza positiva y la aplicación estricta de las rutas y protocolos de protección infantil de la RVM N.° 127-2026-MINEDU.</w:t>
      </w:r>
    </w:p>
    <w:p>
      <w:pPr>
        <w:pStyle w:val="Heading1"/>
        <w:keepNext/>
        <w:spacing w:before="280" w:after="120"/>
      </w:pPr>
      <w:r>
        <w:rPr>
          <w:rFonts w:ascii="Calibri" w:hAnsi="Calibri"/>
          <w:b/>
          <w:color w:val="B30000"/>
          <w:sz w:val="32"/>
        </w:rPr>
        <w:t>5. POBLACIÓN BENEFICIARIA Y ÁMBITO DE INTERVENCIÓN</w:t>
      </w:r>
    </w:p>
    <w:p>
      <w:pPr>
        <w:spacing w:after="120" w:line="276" w:lineRule="auto"/>
      </w:pPr>
      <w:r>
        <w:rPr>
          <w:rFonts w:ascii="Calibri" w:hAnsi="Calibri"/>
          <w:i w:val="0"/>
          <w:color w:val="323232"/>
          <w:sz w:val="22"/>
        </w:rPr>
        <w:t>El programa focaliza su intervención en la Región Loreto, territorio caracterizado por su vasta geografía amazónica, dispersión de comunidades ribereñas y riqueza intercultural y lingüística (Kukama, Kichwa, Urarina, Achuar, entre otros).</w:t>
      </w:r>
    </w:p>
    <w:p>
      <w:pPr>
        <w:spacing w:after="120" w:line="276" w:lineRule="auto"/>
      </w:pPr>
      <w:r>
        <w:rPr>
          <w:rFonts w:ascii="Calibri" w:hAnsi="Calibri"/>
          <w:b/>
          <w:color w:val="26292E"/>
          <w:sz w:val="22"/>
        </w:rPr>
        <w:t xml:space="preserve">Metas de Cobertura Directa: </w:t>
      </w:r>
      <w:r>
        <w:rPr>
          <w:rFonts w:ascii="Calibri" w:hAnsi="Calibri"/>
          <w:i w:val="0"/>
          <w:color w:val="323232"/>
          <w:sz w:val="22"/>
        </w:rPr>
        <w:t>El desglose cuantitativo de beneficiarios directos comprende: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600"/>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Jurisdicción / UGEL</w:t>
            </w:r>
          </w:p>
        </w:tc>
        <w:tc>
          <w:tcPr>
            <w:tcW w:type="dxa" w:w="1872"/>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Promotoras (PEC)</w:t>
            </w:r>
          </w:p>
        </w:tc>
        <w:tc>
          <w:tcPr>
            <w:tcW w:type="dxa" w:w="1872"/>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Prof. Coordinadoras (PC)</w:t>
            </w:r>
          </w:p>
        </w:tc>
        <w:tc>
          <w:tcPr>
            <w:tcW w:type="dxa" w:w="2016"/>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Niñas y Niños Beneficiados</w:t>
            </w:r>
          </w:p>
        </w:tc>
      </w:tr>
      <w:tr>
        <w:trPr>
          <w:cantSplit/>
        </w:trPr>
        <w:tc>
          <w:tcPr>
            <w:tcW w:type="dxa" w:w="360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UGEL Maynas (Iquitos / Belén / Punchana / San Juan)</w:t>
            </w:r>
          </w:p>
        </w:tc>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420</w:t>
            </w:r>
          </w:p>
        </w:tc>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28</w:t>
            </w:r>
          </w:p>
        </w:tc>
        <w:tc>
          <w:tcPr>
            <w:tcW w:type="dxa" w:w="201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3,360</w:t>
            </w:r>
          </w:p>
        </w:tc>
      </w:tr>
      <w:tr>
        <w:trPr>
          <w:cantSplit/>
        </w:trPr>
        <w:tc>
          <w:tcPr>
            <w:tcW w:type="dxa" w:w="360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UGEL Alto Amazonas (Yurimaguas)</w:t>
            </w:r>
          </w:p>
        </w:tc>
        <w:tc>
          <w:tcPr>
            <w:tcW w:type="dxa" w:w="187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260</w:t>
            </w:r>
          </w:p>
        </w:tc>
        <w:tc>
          <w:tcPr>
            <w:tcW w:type="dxa" w:w="187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17</w:t>
            </w:r>
          </w:p>
        </w:tc>
        <w:tc>
          <w:tcPr>
            <w:tcW w:type="dxa" w:w="201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2,080</w:t>
            </w:r>
          </w:p>
        </w:tc>
      </w:tr>
      <w:tr>
        <w:trPr>
          <w:cantSplit/>
        </w:trPr>
        <w:tc>
          <w:tcPr>
            <w:tcW w:type="dxa" w:w="360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UGEL Loreto – Nauta</w:t>
            </w:r>
          </w:p>
        </w:tc>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200</w:t>
            </w:r>
          </w:p>
        </w:tc>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13</w:t>
            </w:r>
          </w:p>
        </w:tc>
        <w:tc>
          <w:tcPr>
            <w:tcW w:type="dxa" w:w="201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1,600</w:t>
            </w:r>
          </w:p>
        </w:tc>
      </w:tr>
      <w:tr>
        <w:trPr>
          <w:cantSplit/>
        </w:trPr>
        <w:tc>
          <w:tcPr>
            <w:tcW w:type="dxa" w:w="360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UGEL Requena</w:t>
            </w:r>
          </w:p>
        </w:tc>
        <w:tc>
          <w:tcPr>
            <w:tcW w:type="dxa" w:w="187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180</w:t>
            </w:r>
          </w:p>
        </w:tc>
        <w:tc>
          <w:tcPr>
            <w:tcW w:type="dxa" w:w="187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12</w:t>
            </w:r>
          </w:p>
        </w:tc>
        <w:tc>
          <w:tcPr>
            <w:tcW w:type="dxa" w:w="201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1,440</w:t>
            </w:r>
          </w:p>
        </w:tc>
      </w:tr>
      <w:tr>
        <w:trPr>
          <w:cantSplit/>
        </w:trPr>
        <w:tc>
          <w:tcPr>
            <w:tcW w:type="dxa" w:w="360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UGEL Ucayali – Contamana</w:t>
            </w:r>
          </w:p>
        </w:tc>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140</w:t>
            </w:r>
          </w:p>
        </w:tc>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10</w:t>
            </w:r>
          </w:p>
        </w:tc>
        <w:tc>
          <w:tcPr>
            <w:tcW w:type="dxa" w:w="201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1,120</w:t>
            </w:r>
          </w:p>
        </w:tc>
      </w:tr>
    </w:tbl>
    <w:p>
      <w:pPr>
        <w:spacing w:before="80"/>
      </w:pPr>
      <w:r>
        <w:rPr>
          <w:rFonts w:ascii="Calibri" w:hAnsi="Calibri"/>
          <w:b/>
          <w:color w:val="B30000"/>
          <w:sz w:val="20"/>
        </w:rPr>
        <w:t>TOTAL BENEFICIARIOS DIRECTOS: 1,200 Promotoras Educativas Comunitarias (PEC) y 80 Profesoras Coordinadoras (PC). Total beneficiarios indirectos: 9,600 niñas y niños de 0 a 5 años y sus familias.</w:t>
      </w:r>
    </w:p>
    <w:p>
      <w:pPr>
        <w:pStyle w:val="Heading1"/>
        <w:keepNext/>
        <w:spacing w:before="280" w:after="120"/>
      </w:pPr>
      <w:r>
        <w:rPr>
          <w:rFonts w:ascii="Calibri" w:hAnsi="Calibri"/>
          <w:b/>
          <w:color w:val="B30000"/>
          <w:sz w:val="32"/>
        </w:rPr>
        <w:t>6. MALLA CURRICULAR Y RÉGIMEN DE CRÉDITOS (LEY N.° 30220)</w:t>
      </w:r>
    </w:p>
    <w:p>
      <w:pPr>
        <w:spacing w:after="120" w:line="276" w:lineRule="auto"/>
      </w:pPr>
      <w:r>
        <w:rPr>
          <w:rFonts w:ascii="Calibri" w:hAnsi="Calibri"/>
          <w:i w:val="0"/>
          <w:color w:val="323232"/>
          <w:sz w:val="22"/>
        </w:rPr>
        <w:t>En estricto cumplimiento del Artículo 39° de la Ley Universitaria N.° 30220, la propuesta equilibra sólidamente las horas teóricas sincrónicas con las horas prácticas vivenciales y de aplicación directa en el PRONOEI:</w:t>
      </w: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left w:val="single" w:sz="24" w:space="0" w:color="B30000"/>
              <w:top w:val="none"/>
              <w:right w:val="none"/>
              <w:bottom w:val="none"/>
            </w:tcBorders>
          </w:tcPr>
          <w:p>
            <w:pPr>
              <w:spacing w:after="80"/>
            </w:pPr>
            <w:r>
              <w:rPr>
                <w:rFonts w:ascii="Calibri" w:hAnsi="Calibri"/>
                <w:b/>
                <w:color w:val="B30000"/>
                <w:sz w:val="23"/>
              </w:rPr>
              <w:t>CÓMPUTO Y MATRIZ DE CRÉDITOS ACADÉMICOS OFICIALES:</w:t>
            </w:r>
          </w:p>
          <w:p>
            <w:pPr>
              <w:spacing w:after="0" w:line="276" w:lineRule="auto"/>
            </w:pPr>
            <w:r>
              <w:rPr>
                <w:rFonts w:ascii="Calibri" w:hAnsi="Calibri"/>
                <w:color w:val="282828"/>
                <w:sz w:val="21"/>
              </w:rPr>
              <w:t>• Horas Teóricas (Lectivas Sincrónicas y Magistrales): 48 horas / 16 horas por crédito = 3.0 Créditos Académicos.</w:t>
              <w:br/>
              <w:t>• Horas Prácticas (Talleres Vivenciales y Réplica en PRONOEI): 64 horas / 32 horas por crédito = 2.0 Créditos Académicos.</w:t>
              <w:br/>
              <w:t>• Horas de Asesoría, Tutoría y Sustentación de Portafolio: 8 horas de acompañamiento pedagógico.</w:t>
              <w:br/>
              <w:t>• TOTAL CONSOLIDADO: 120 Horas Académicas = 5.0 Créditos Académicos Oficiales UCV.</w:t>
            </w:r>
          </w:p>
        </w:tc>
      </w:tr>
    </w:tbl>
    <w:p>
      <w:pPr>
        <w:spacing w:after="80"/>
      </w:pP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864"/>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Mód.</w:t>
            </w:r>
          </w:p>
        </w:tc>
        <w:tc>
          <w:tcPr>
            <w:tcW w:type="dxa" w:w="4320"/>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Denominación del Módulo</w:t>
            </w:r>
          </w:p>
        </w:tc>
        <w:tc>
          <w:tcPr>
            <w:tcW w:type="dxa" w:w="1008"/>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H. Teór.</w:t>
            </w:r>
          </w:p>
        </w:tc>
        <w:tc>
          <w:tcPr>
            <w:tcW w:type="dxa" w:w="1008"/>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H. Prác.</w:t>
            </w:r>
          </w:p>
        </w:tc>
        <w:tc>
          <w:tcPr>
            <w:tcW w:type="dxa" w:w="1152"/>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Portafolio</w:t>
            </w:r>
          </w:p>
        </w:tc>
        <w:tc>
          <w:tcPr>
            <w:tcW w:type="dxa" w:w="1008"/>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Total Horas</w:t>
            </w:r>
          </w:p>
        </w:tc>
      </w:tr>
      <w:tr>
        <w:trPr>
          <w:cantSplit/>
        </w:trPr>
        <w:tc>
          <w:tcPr>
            <w:tcW w:type="dxa" w:w="86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M1</w:t>
            </w:r>
          </w:p>
        </w:tc>
        <w:tc>
          <w:tcPr>
            <w:tcW w:type="dxa" w:w="43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Identidad, Ética y Rol de la PEC en los PRONOEI (con PC)</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10 h</w:t>
            </w:r>
          </w:p>
        </w:tc>
        <w:tc>
          <w:tcPr>
            <w:tcW w:type="dxa" w:w="115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 h</w:t>
            </w:r>
          </w:p>
        </w:tc>
      </w:tr>
      <w:tr>
        <w:trPr>
          <w:cantSplit/>
        </w:trPr>
        <w:tc>
          <w:tcPr>
            <w:tcW w:type="dxa" w:w="86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M2</w:t>
            </w:r>
          </w:p>
        </w:tc>
        <w:tc>
          <w:tcPr>
            <w:tcW w:type="dxa" w:w="43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Desarrollo Integral en la Primera Infancia: Ciclo I y Ciclo II</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 h</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10 h</w:t>
            </w:r>
          </w:p>
        </w:tc>
        <w:tc>
          <w:tcPr>
            <w:tcW w:type="dxa" w:w="115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 h</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 h</w:t>
            </w:r>
          </w:p>
        </w:tc>
      </w:tr>
      <w:tr>
        <w:trPr>
          <w:cantSplit/>
        </w:trPr>
        <w:tc>
          <w:tcPr>
            <w:tcW w:type="dxa" w:w="86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M3</w:t>
            </w:r>
          </w:p>
        </w:tc>
        <w:tc>
          <w:tcPr>
            <w:tcW w:type="dxa" w:w="43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El Juego, Exploración y Materiales del Contexto Amazónico</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10 h</w:t>
            </w:r>
          </w:p>
        </w:tc>
        <w:tc>
          <w:tcPr>
            <w:tcW w:type="dxa" w:w="115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 h</w:t>
            </w:r>
          </w:p>
        </w:tc>
      </w:tr>
      <w:tr>
        <w:trPr>
          <w:cantSplit/>
        </w:trPr>
        <w:tc>
          <w:tcPr>
            <w:tcW w:type="dxa" w:w="86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M4</w:t>
            </w:r>
          </w:p>
        </w:tc>
        <w:tc>
          <w:tcPr>
            <w:tcW w:type="dxa" w:w="43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Planificación de Experiencias de Aprendizaje Significativas (CNEB)</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 h</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10 h</w:t>
            </w:r>
          </w:p>
        </w:tc>
        <w:tc>
          <w:tcPr>
            <w:tcW w:type="dxa" w:w="115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 h</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 h</w:t>
            </w:r>
          </w:p>
        </w:tc>
      </w:tr>
      <w:tr>
        <w:trPr>
          <w:cantSplit/>
        </w:trPr>
        <w:tc>
          <w:tcPr>
            <w:tcW w:type="dxa" w:w="86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M5</w:t>
            </w:r>
          </w:p>
        </w:tc>
        <w:tc>
          <w:tcPr>
            <w:tcW w:type="dxa" w:w="43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Educación Inclusiva y Diseño Universal para el Aprendizaje (DUA 3.0)</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10 h</w:t>
            </w:r>
          </w:p>
        </w:tc>
        <w:tc>
          <w:tcPr>
            <w:tcW w:type="dxa" w:w="115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 h</w:t>
            </w:r>
          </w:p>
        </w:tc>
      </w:tr>
      <w:tr>
        <w:trPr>
          <w:cantSplit/>
        </w:trPr>
        <w:tc>
          <w:tcPr>
            <w:tcW w:type="dxa" w:w="86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M6</w:t>
            </w:r>
          </w:p>
        </w:tc>
        <w:tc>
          <w:tcPr>
            <w:tcW w:type="dxa" w:w="43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Bienestar Socioemocional y Protocolos de Protección (RVM 127-2026)</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 h</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10 h</w:t>
            </w:r>
          </w:p>
        </w:tc>
        <w:tc>
          <w:tcPr>
            <w:tcW w:type="dxa" w:w="115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 h</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20 h</w:t>
            </w:r>
          </w:p>
        </w:tc>
      </w:tr>
      <w:tr>
        <w:trPr>
          <w:cantSplit/>
        </w:trPr>
        <w:tc>
          <w:tcPr>
            <w:tcW w:type="dxa" w:w="86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TOTAL</w:t>
            </w:r>
          </w:p>
        </w:tc>
        <w:tc>
          <w:tcPr>
            <w:tcW w:type="dxa" w:w="43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CONSOLIDADO DE CARGA LECTIVA Y FORMATIVA DEL PROGRAMA</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48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64 h</w:t>
            </w:r>
          </w:p>
        </w:tc>
        <w:tc>
          <w:tcPr>
            <w:tcW w:type="dxa" w:w="115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 h</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120 h</w:t>
            </w:r>
          </w:p>
        </w:tc>
      </w:tr>
    </w:tbl>
    <w:p>
      <w:pPr>
        <w:spacing w:after="160"/>
      </w:pPr>
    </w:p>
    <w:p>
      <w:pPr>
        <w:pStyle w:val="Heading1"/>
        <w:keepNext/>
        <w:spacing w:before="280" w:after="120"/>
      </w:pPr>
      <w:r>
        <w:rPr>
          <w:rFonts w:ascii="Calibri" w:hAnsi="Calibri"/>
          <w:b/>
          <w:color w:val="B30000"/>
          <w:sz w:val="32"/>
        </w:rPr>
        <w:t>7. METODOLOGÍA FORMATIVA Y ECOSISTEMA TECNOLÓGICO</w:t>
      </w:r>
    </w:p>
    <w:p>
      <w:pPr>
        <w:spacing w:after="120" w:line="276" w:lineRule="auto"/>
      </w:pPr>
      <w:r>
        <w:rPr>
          <w:rFonts w:ascii="Calibri" w:hAnsi="Calibri"/>
          <w:i w:val="0"/>
          <w:color w:val="323232"/>
          <w:sz w:val="22"/>
        </w:rPr>
        <w:t>El programa implementa un modelo Semipresencial (Blended Learning) de alta pertinencia comunitaria, diseñado a partir de dos referentes probados:</w:t>
      </w:r>
    </w:p>
    <w:p>
      <w:pPr>
        <w:spacing w:after="120" w:line="276" w:lineRule="auto"/>
      </w:pPr>
      <w:r>
        <w:rPr>
          <w:rFonts w:ascii="Calibri" w:hAnsi="Calibri"/>
          <w:b/>
          <w:color w:val="26292E"/>
          <w:sz w:val="22"/>
        </w:rPr>
        <w:t xml:space="preserve">a) El Campus Virtual WarmiClass: </w:t>
      </w:r>
      <w:r>
        <w:rPr>
          <w:rFonts w:ascii="Calibri" w:hAnsi="Calibri"/>
          <w:i w:val="0"/>
          <w:color w:val="323232"/>
          <w:sz w:val="22"/>
        </w:rPr>
        <w:t>Plataforma virtual basada en Moodle (tema Moove personalizado) optimizada para dispositivos móviles con navegación intuitiva, bajo consumo de datos y tipografía accesible. Incluye carrusel de webinars Zoom, foros interactivos de intercambio de experiencias entre promotoras y sistema de descarga de guías en formatos PDF ligeros.</w:t>
      </w:r>
    </w:p>
    <w:p>
      <w:pPr>
        <w:spacing w:after="120" w:line="276" w:lineRule="auto"/>
      </w:pPr>
      <w:r>
        <w:rPr>
          <w:rFonts w:ascii="Calibri" w:hAnsi="Calibri"/>
          <w:b/>
          <w:color w:val="26292E"/>
          <w:sz w:val="22"/>
        </w:rPr>
        <w:t xml:space="preserve">b) Recursos Oficiales y Webinars del MINEDU: </w:t>
      </w:r>
      <w:r>
        <w:rPr>
          <w:rFonts w:ascii="Calibri" w:hAnsi="Calibri"/>
          <w:i w:val="0"/>
          <w:color w:val="323232"/>
          <w:sz w:val="22"/>
        </w:rPr>
        <w:t>Incorporación directa de los cinco webinars audiovisuales oficiales del Ministerio de Educación de la campaña PRONOEI (evaluación de competencias, intencionalidad pedagógica, protocolos de protección, sistematización de buenas prácticas y ordenamiento territorial), utilizándolos como detonantes de análisis reflexivo.</w:t>
      </w:r>
    </w:p>
    <w:p>
      <w:pPr>
        <w:spacing w:after="120" w:line="276" w:lineRule="auto"/>
      </w:pPr>
      <w:r>
        <w:rPr>
          <w:rFonts w:ascii="Calibri" w:hAnsi="Calibri"/>
          <w:b/>
          <w:color w:val="26292E"/>
          <w:sz w:val="22"/>
        </w:rPr>
        <w:t xml:space="preserve">c) Talleres Prácticos Zonales: </w:t>
      </w:r>
      <w:r>
        <w:rPr>
          <w:rFonts w:ascii="Calibri" w:hAnsi="Calibri"/>
          <w:i w:val="0"/>
          <w:color w:val="323232"/>
          <w:sz w:val="22"/>
        </w:rPr>
        <w:t>Seis talleres vivenciales presenciales descentralizados en las sedes de las UGEL, organizados en fines de semana o jornadas coordinadas, donde las promotoras vivencian el juego, elaboran juguetes con cortezas, semillas y fibras naturales de Loreto, y practican la mediación en microexperiencias.</w:t>
      </w:r>
    </w:p>
    <w:p>
      <w:pPr>
        <w:pStyle w:val="Heading1"/>
        <w:keepNext/>
        <w:spacing w:before="280" w:after="120"/>
      </w:pPr>
      <w:r>
        <w:rPr>
          <w:rFonts w:ascii="Calibri" w:hAnsi="Calibri"/>
          <w:b/>
          <w:color w:val="B30000"/>
          <w:sz w:val="32"/>
        </w:rPr>
        <w:t>8. SISTEMA DE EVALUACIÓN, INDICADORES Y MEDIOS DE VERIFICACIÓN</w:t>
      </w:r>
    </w:p>
    <w:p>
      <w:pPr>
        <w:spacing w:after="120" w:line="276" w:lineRule="auto"/>
      </w:pPr>
      <w:r>
        <w:rPr>
          <w:rFonts w:ascii="Calibri" w:hAnsi="Calibri"/>
          <w:i w:val="0"/>
          <w:color w:val="323232"/>
          <w:sz w:val="22"/>
        </w:rPr>
        <w:t>La evaluación es de naturaleza formativa, continua y auténtica. Se evalúa el desempeño en acción y no la memorización teórica:</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440"/>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Nivel</w:t>
            </w:r>
          </w:p>
        </w:tc>
        <w:tc>
          <w:tcPr>
            <w:tcW w:type="dxa" w:w="4320"/>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Indicador de Medición</w:t>
            </w:r>
          </w:p>
        </w:tc>
        <w:tc>
          <w:tcPr>
            <w:tcW w:type="dxa" w:w="1008"/>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Meta</w:t>
            </w:r>
          </w:p>
        </w:tc>
        <w:tc>
          <w:tcPr>
            <w:tcW w:type="dxa" w:w="2592"/>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Medio de Verificación</w:t>
            </w:r>
          </w:p>
        </w:tc>
      </w:tr>
      <w:tr>
        <w:trPr>
          <w:cantSplit/>
        </w:trPr>
        <w:tc>
          <w:tcPr>
            <w:tcW w:type="dxa" w:w="144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Proceso</w:t>
            </w:r>
          </w:p>
        </w:tc>
        <w:tc>
          <w:tcPr>
            <w:tcW w:type="dxa" w:w="43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Porcentaje de PEC inscritas que participan en los talleres vivenciales y sincrónicos.</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90%</w:t>
            </w:r>
          </w:p>
        </w:tc>
        <w:tc>
          <w:tcPr>
            <w:tcW w:type="dxa" w:w="259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Listas de asistencia física y registros de aula virtual.</w:t>
            </w:r>
          </w:p>
        </w:tc>
      </w:tr>
      <w:tr>
        <w:trPr>
          <w:cantSplit/>
        </w:trPr>
        <w:tc>
          <w:tcPr>
            <w:tcW w:type="dxa" w:w="144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Proceso</w:t>
            </w:r>
          </w:p>
        </w:tc>
        <w:tc>
          <w:tcPr>
            <w:tcW w:type="dxa" w:w="43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Porcentaje de PEC que completan los Boletos de Salida (evaluación de salida) por módulo.</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85%</w:t>
            </w:r>
          </w:p>
        </w:tc>
        <w:tc>
          <w:tcPr>
            <w:tcW w:type="dxa" w:w="259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Formularios interactivos y cuestionarios en plataforma.</w:t>
            </w:r>
          </w:p>
        </w:tc>
      </w:tr>
      <w:tr>
        <w:trPr>
          <w:cantSplit/>
        </w:trPr>
        <w:tc>
          <w:tcPr>
            <w:tcW w:type="dxa" w:w="144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Resultado</w:t>
            </w:r>
          </w:p>
        </w:tc>
        <w:tc>
          <w:tcPr>
            <w:tcW w:type="dxa" w:w="43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Porcentaje de PEC que culminan satisfactoriamente los 6 módulos formativos.</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85%</w:t>
            </w:r>
          </w:p>
        </w:tc>
        <w:tc>
          <w:tcPr>
            <w:tcW w:type="dxa" w:w="259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Actas de evaluación y sistema de seguimiento académico.</w:t>
            </w:r>
          </w:p>
        </w:tc>
      </w:tr>
      <w:tr>
        <w:trPr>
          <w:cantSplit/>
        </w:trPr>
        <w:tc>
          <w:tcPr>
            <w:tcW w:type="dxa" w:w="144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Resultado</w:t>
            </w:r>
          </w:p>
        </w:tc>
        <w:tc>
          <w:tcPr>
            <w:tcW w:type="dxa" w:w="43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Porcentaje de PEC que elaboran, sustentan y aprueban su Portafolio Pedagógico con nota ≥ 14.</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80%</w:t>
            </w:r>
          </w:p>
        </w:tc>
        <w:tc>
          <w:tcPr>
            <w:tcW w:type="dxa" w:w="259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Rúbrica de evaluación de portafolio firmada por la PC y UCV.</w:t>
            </w:r>
          </w:p>
        </w:tc>
      </w:tr>
      <w:tr>
        <w:trPr>
          <w:cantSplit/>
        </w:trPr>
        <w:tc>
          <w:tcPr>
            <w:tcW w:type="dxa" w:w="144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Calidad</w:t>
            </w:r>
          </w:p>
        </w:tc>
        <w:tc>
          <w:tcPr>
            <w:tcW w:type="dxa" w:w="43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Nivel de satisfacción de las promotoras respecto a la utilidad, calidez y calidad del programa.</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90%</w:t>
            </w:r>
          </w:p>
        </w:tc>
        <w:tc>
          <w:tcPr>
            <w:tcW w:type="dxa" w:w="259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Encuesta digital y física de satisfacción al cierre.</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left w:val="single" w:sz="24" w:space="0" w:color="B30000"/>
              <w:top w:val="none"/>
              <w:right w:val="none"/>
              <w:bottom w:val="none"/>
            </w:tcBorders>
          </w:tcPr>
          <w:p>
            <w:pPr>
              <w:spacing w:after="80"/>
            </w:pPr>
            <w:r>
              <w:rPr>
                <w:rFonts w:ascii="Calibri" w:hAnsi="Calibri"/>
                <w:b/>
                <w:color w:val="B30000"/>
                <w:sz w:val="23"/>
              </w:rPr>
              <w:t>ESTRUCTURA Y RÚBRICA DEL PORTAFOLIO PEDAGÓGICO DE LA PROMOTORA (PRODUCTO FINAL):</w:t>
            </w:r>
          </w:p>
          <w:p>
            <w:pPr>
              <w:spacing w:after="0" w:line="276" w:lineRule="auto"/>
            </w:pPr>
            <w:r>
              <w:rPr>
                <w:rFonts w:ascii="Calibri" w:hAnsi="Calibri"/>
                <w:color w:val="282828"/>
                <w:sz w:val="21"/>
              </w:rPr>
              <w:t>El Portafolio Pedagógico es el medio central de acreditación y contiene 4 evidencias prácticas autenticadas:</w:t>
              <w:br/>
              <w:t>1. Cuaderno de Registro y Observación Sensible: Muestra de fichas de observación de los intereses y ritmos de los niños.</w:t>
              <w:br/>
              <w:t>2. Planificación de 2 Experiencias de Aprendizaje Contextualizadas: Articuladas al CNEB con situaciones significativas locales.</w:t>
              <w:br/>
              <w:t>3. Catálogo Fotográfico de Espacios y Materiales no Estructurados: Sectores de juego organizados con insumos amazónicos.</w:t>
              <w:br/>
              <w:t>4. Estudio de Caso y Ruta de Protección Infantil: Análisis de una situación simulada aplicando la RVM N.° 127-2026-MINEDU.</w:t>
            </w:r>
          </w:p>
        </w:tc>
      </w:tr>
    </w:tbl>
    <w:p>
      <w:pPr>
        <w:spacing w:after="80"/>
      </w:pPr>
    </w:p>
    <w:p>
      <w:pPr>
        <w:pStyle w:val="Heading1"/>
        <w:keepNext/>
        <w:spacing w:before="280" w:after="120"/>
      </w:pPr>
      <w:r>
        <w:rPr>
          <w:rFonts w:ascii="Calibri" w:hAnsi="Calibri"/>
          <w:b/>
          <w:color w:val="B30000"/>
          <w:sz w:val="32"/>
        </w:rPr>
        <w:t>9. PRESUPUESTO Y ESTRUCTURA DE FINANCIAMIENTO</w:t>
      </w:r>
    </w:p>
    <w:p>
      <w:pPr>
        <w:spacing w:after="120" w:line="276" w:lineRule="auto"/>
      </w:pPr>
      <w:r>
        <w:rPr>
          <w:rFonts w:ascii="Calibri" w:hAnsi="Calibri"/>
          <w:i w:val="0"/>
          <w:color w:val="323232"/>
          <w:sz w:val="22"/>
        </w:rPr>
        <w:t>El presupuesto consolidado asciende a S/ 114,800.00 (Ciento catorce mil ochocientos con 00/100 Soles), financiado bajo el esquema de Responsabilidad Social Universitaria de la UCV con contrapartida logística de la DRE Loreto:</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Rubro</w:t>
            </w:r>
          </w:p>
        </w:tc>
        <w:tc>
          <w:tcPr>
            <w:tcW w:type="dxa" w:w="3744"/>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Concepto de Gasto</w:t>
            </w:r>
          </w:p>
        </w:tc>
        <w:tc>
          <w:tcPr>
            <w:tcW w:type="dxa" w:w="1584"/>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Costo Unit. (S/)</w:t>
            </w:r>
          </w:p>
        </w:tc>
        <w:tc>
          <w:tcPr>
            <w:tcW w:type="dxa" w:w="1152"/>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Cant.</w:t>
            </w:r>
          </w:p>
        </w:tc>
        <w:tc>
          <w:tcPr>
            <w:tcW w:type="dxa" w:w="1008"/>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Subtotal (S/)</w:t>
            </w:r>
          </w:p>
        </w:tc>
      </w:tr>
      <w:tr>
        <w:trPr>
          <w:cantSplit/>
        </w:trPr>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 Equipo Docente</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Honorarios de facilitadores y especialistas en educación inicial y DUA</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3,500.00 / mes</w:t>
            </w:r>
          </w:p>
        </w:tc>
        <w:tc>
          <w:tcPr>
            <w:tcW w:type="dxa" w:w="115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6 formadores (3 m)</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63,000.00</w:t>
            </w:r>
          </w:p>
        </w:tc>
      </w:tr>
      <w:tr>
        <w:trPr>
          <w:cantSplit/>
        </w:trPr>
        <w:tc>
          <w:tcPr>
            <w:tcW w:type="dxa" w:w="187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 Materiales y Kits</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Kits de materiales didácticos, guías impresas y cuadernos de campo para PEC</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18.00 / kit</w:t>
            </w:r>
          </w:p>
        </w:tc>
        <w:tc>
          <w:tcPr>
            <w:tcW w:type="dxa" w:w="115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1,200 PEC</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21,600.00</w:t>
            </w:r>
          </w:p>
        </w:tc>
      </w:tr>
      <w:tr>
        <w:trPr>
          <w:cantSplit/>
        </w:trPr>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3. Tecnología y LMS</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Servidor Moodle WarmiClass, soporte técnico multicanal y cuentas Zoom Pro</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2,400.00 / mes</w:t>
            </w:r>
          </w:p>
        </w:tc>
        <w:tc>
          <w:tcPr>
            <w:tcW w:type="dxa" w:w="115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3 meses</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7,200.00</w:t>
            </w:r>
          </w:p>
        </w:tc>
      </w:tr>
      <w:tr>
        <w:trPr>
          <w:cantSplit/>
        </w:trPr>
        <w:tc>
          <w:tcPr>
            <w:tcW w:type="dxa" w:w="187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4. Logística Zonal</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Movilidad fluvial/terrestre para monitoreo en Maynas, Nauta, Requena y Contamana</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3,000.00 / viaje</w:t>
            </w:r>
          </w:p>
        </w:tc>
        <w:tc>
          <w:tcPr>
            <w:tcW w:type="dxa" w:w="115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5 UGEL</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15,000.00</w:t>
            </w:r>
          </w:p>
        </w:tc>
      </w:tr>
      <w:tr>
        <w:trPr>
          <w:cantSplit/>
        </w:trPr>
        <w:tc>
          <w:tcPr>
            <w:tcW w:type="dxa" w:w="187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5. Certificación</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Emisión, registro académico y entrega de diplomas oficiales universitarios UCV</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6.50 / diploma</w:t>
            </w:r>
          </w:p>
        </w:tc>
        <w:tc>
          <w:tcPr>
            <w:tcW w:type="dxa" w:w="1152"/>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1,200 diplomas</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8,000.00</w:t>
            </w:r>
          </w:p>
        </w:tc>
      </w:tr>
      <w:tr>
        <w:trPr>
          <w:cantSplit/>
        </w:trPr>
        <w:tc>
          <w:tcPr>
            <w:tcW w:type="dxa" w:w="187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TOTAL</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PRESUPUESTO GENERAL CONSOLIDADO DE EJECUCIÓN DEL PROGRAMA</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w:t>
            </w:r>
          </w:p>
        </w:tc>
        <w:tc>
          <w:tcPr>
            <w:tcW w:type="dxa" w:w="1152"/>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 114,800.00</w:t>
            </w:r>
          </w:p>
        </w:tc>
      </w:tr>
    </w:tbl>
    <w:p>
      <w:pPr>
        <w:spacing w:after="160"/>
      </w:pPr>
    </w:p>
    <w:p>
      <w:pPr>
        <w:pStyle w:val="Heading1"/>
        <w:keepNext/>
        <w:spacing w:before="280" w:after="120"/>
      </w:pPr>
      <w:r>
        <w:rPr>
          <w:rFonts w:ascii="Calibri" w:hAnsi="Calibri"/>
          <w:b/>
          <w:color w:val="B30000"/>
          <w:sz w:val="32"/>
        </w:rPr>
        <w:t>10. CRONOGRAMA DE ACTIVIDADES (SEPTIEMBRE – NOVIEMBRE 2026)</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720"/>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Sem.</w:t>
            </w:r>
          </w:p>
        </w:tc>
        <w:tc>
          <w:tcPr>
            <w:tcW w:type="dxa" w:w="1584"/>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Periodo / Fecha</w:t>
            </w:r>
          </w:p>
        </w:tc>
        <w:tc>
          <w:tcPr>
            <w:tcW w:type="dxa" w:w="3744"/>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Fase / Actividad Principal</w:t>
            </w:r>
          </w:p>
        </w:tc>
        <w:tc>
          <w:tcPr>
            <w:tcW w:type="dxa" w:w="1008"/>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Módulo</w:t>
            </w:r>
          </w:p>
        </w:tc>
        <w:tc>
          <w:tcPr>
            <w:tcW w:type="dxa" w:w="1296"/>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Modalidad</w:t>
            </w:r>
          </w:p>
        </w:tc>
        <w:tc>
          <w:tcPr>
            <w:tcW w:type="dxa" w:w="1008"/>
            <w:vAlign w:val="center"/>
            <w:shd w:fill="B30000"/>
            <w:tcMar>
              <w:top w:w="140" w:type="dxa"/>
              <w:bottom w:w="140" w:type="dxa"/>
              <w:left w:w="140" w:type="dxa"/>
              <w:right w:w="140" w:type="dxa"/>
            </w:tcMar>
            <w:tcBorders>
              <w:top w:val="single" w:sz="6" w:space="0" w:color="8B0000"/>
              <w:bottom w:val="single" w:sz="6" w:space="0" w:color="8B0000"/>
              <w:left w:val="single" w:sz="6" w:space="0" w:color="8B0000"/>
              <w:right w:val="single" w:sz="6" w:space="0" w:color="8B0000"/>
            </w:tcBorders>
          </w:tcPr>
          <w:p>
            <w:pPr>
              <w:jc w:val="center"/>
            </w:pPr>
            <w:r>
              <w:rPr>
                <w:rFonts w:ascii="Calibri" w:hAnsi="Calibri"/>
                <w:b/>
                <w:color w:val="FFFFFF"/>
                <w:sz w:val="20"/>
              </w:rPr>
              <w:t>Responsable</w:t>
            </w:r>
          </w:p>
        </w:tc>
      </w:tr>
      <w:tr>
        <w:trPr>
          <w:cantSplit/>
        </w:trPr>
        <w:tc>
          <w:tcPr>
            <w:tcW w:type="dxa" w:w="7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S1</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07/09 – 13/09</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Convocatoria, matrícula y Taller 0: Inducción a la plataforma WarmiClass</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Inducción</w:t>
            </w:r>
          </w:p>
        </w:tc>
        <w:tc>
          <w:tcPr>
            <w:tcW w:type="dxa" w:w="129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Virtual / WhatsApp</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Equipo UCV</w:t>
            </w:r>
          </w:p>
        </w:tc>
      </w:tr>
      <w:tr>
        <w:trPr>
          <w:cantSplit/>
        </w:trPr>
        <w:tc>
          <w:tcPr>
            <w:tcW w:type="dxa" w:w="7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S2</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14/09 – 20/09</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Módulo 1: Identidad, Ética y Rol de la PEC. Taller presencial zonal 1</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M1</w:t>
            </w:r>
          </w:p>
        </w:tc>
        <w:tc>
          <w:tcPr>
            <w:tcW w:type="dxa" w:w="129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Presencial + Virtual</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Formador + PC</w:t>
            </w:r>
          </w:p>
        </w:tc>
      </w:tr>
      <w:tr>
        <w:trPr>
          <w:cantSplit/>
        </w:trPr>
        <w:tc>
          <w:tcPr>
            <w:tcW w:type="dxa" w:w="7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S3</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21/09 – 27/09</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Consolidación M1. Foro de debate y entrega de Boleto de Salida 1</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M1</w:t>
            </w:r>
          </w:p>
        </w:tc>
        <w:tc>
          <w:tcPr>
            <w:tcW w:type="dxa" w:w="129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Campus Virtual</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Tutor UCV</w:t>
            </w:r>
          </w:p>
        </w:tc>
      </w:tr>
      <w:tr>
        <w:trPr>
          <w:cantSplit/>
        </w:trPr>
        <w:tc>
          <w:tcPr>
            <w:tcW w:type="dxa" w:w="7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S4</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28/09 – 04/10</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Módulo 2: Desarrollo Infantil (Ciclo I y II). Taller presencial zonal 2</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M2</w:t>
            </w:r>
          </w:p>
        </w:tc>
        <w:tc>
          <w:tcPr>
            <w:tcW w:type="dxa" w:w="129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Presencial + Virtual</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Especialista Inicial</w:t>
            </w:r>
          </w:p>
        </w:tc>
      </w:tr>
      <w:tr>
        <w:trPr>
          <w:cantSplit/>
        </w:trPr>
        <w:tc>
          <w:tcPr>
            <w:tcW w:type="dxa" w:w="7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S5</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05/10 – 11/10</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Consolidación M2. Análisis de casos prácticos de desarrollo motor/afectivo</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M2</w:t>
            </w:r>
          </w:p>
        </w:tc>
        <w:tc>
          <w:tcPr>
            <w:tcW w:type="dxa" w:w="129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Campus Virtual</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Tutor UCV</w:t>
            </w:r>
          </w:p>
        </w:tc>
      </w:tr>
      <w:tr>
        <w:trPr>
          <w:cantSplit/>
        </w:trPr>
        <w:tc>
          <w:tcPr>
            <w:tcW w:type="dxa" w:w="7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S6</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12/10 – 18/10</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Módulo 3: El Juego y Recursos Amazónicos. Taller vivencial lúdico 3</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M3</w:t>
            </w:r>
          </w:p>
        </w:tc>
        <w:tc>
          <w:tcPr>
            <w:tcW w:type="dxa" w:w="129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Presencial vivencial</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Formador + PC</w:t>
            </w:r>
          </w:p>
        </w:tc>
      </w:tr>
      <w:tr>
        <w:trPr>
          <w:cantSplit/>
        </w:trPr>
        <w:tc>
          <w:tcPr>
            <w:tcW w:type="dxa" w:w="7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S7</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19/10 – 25/10</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Consolidación M3. Diseño de juguetes con material no estructurado</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M3</w:t>
            </w:r>
          </w:p>
        </w:tc>
        <w:tc>
          <w:tcPr>
            <w:tcW w:type="dxa" w:w="129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PRONOEI / Virtual</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PEC + PC</w:t>
            </w:r>
          </w:p>
        </w:tc>
      </w:tr>
      <w:tr>
        <w:trPr>
          <w:cantSplit/>
        </w:trPr>
        <w:tc>
          <w:tcPr>
            <w:tcW w:type="dxa" w:w="7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S8</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26/10 – 01/11</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Módulo 4: Planificación Contextualizada (CNEB). Taller presencial 4</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M4</w:t>
            </w:r>
          </w:p>
        </w:tc>
        <w:tc>
          <w:tcPr>
            <w:tcW w:type="dxa" w:w="129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Presencial + Virtual</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Especialista CNEB</w:t>
            </w:r>
          </w:p>
        </w:tc>
      </w:tr>
      <w:tr>
        <w:trPr>
          <w:cantSplit/>
        </w:trPr>
        <w:tc>
          <w:tcPr>
            <w:tcW w:type="dxa" w:w="7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S9</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02/11 – 08/11</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Módulo 5: Inclusión y DUA 3.0. Detección de barreras y apoyos en aula</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M5</w:t>
            </w:r>
          </w:p>
        </w:tc>
        <w:tc>
          <w:tcPr>
            <w:tcW w:type="dxa" w:w="129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Virtual + Taller</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Especialista DUA</w:t>
            </w:r>
          </w:p>
        </w:tc>
      </w:tr>
      <w:tr>
        <w:trPr>
          <w:cantSplit/>
        </w:trPr>
        <w:tc>
          <w:tcPr>
            <w:tcW w:type="dxa" w:w="7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S10</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09/11 – 15/11</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Módulo 6: Protección y Rutas de Violencia (RVM 127-2026). Taller 5</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M6</w:t>
            </w:r>
          </w:p>
        </w:tc>
        <w:tc>
          <w:tcPr>
            <w:tcW w:type="dxa" w:w="129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Presencial + Virtual</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Abogado / Psicólogo</w:t>
            </w:r>
          </w:p>
        </w:tc>
      </w:tr>
      <w:tr>
        <w:trPr>
          <w:cantSplit/>
        </w:trPr>
        <w:tc>
          <w:tcPr>
            <w:tcW w:type="dxa" w:w="7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S11</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16/11 – 22/11</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Taller Integrador: Armado, revisión y sustentación del Portafolio Pedagógico</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Portafolio</w:t>
            </w:r>
          </w:p>
        </w:tc>
        <w:tc>
          <w:tcPr>
            <w:tcW w:type="dxa" w:w="129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Presencial Zonal</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Comisión Evaluadora</w:t>
            </w:r>
          </w:p>
        </w:tc>
      </w:tr>
      <w:tr>
        <w:trPr>
          <w:cantSplit/>
        </w:trPr>
        <w:tc>
          <w:tcPr>
            <w:tcW w:type="dxa" w:w="720"/>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S12</w:t>
            </w:r>
          </w:p>
        </w:tc>
        <w:tc>
          <w:tcPr>
            <w:tcW w:type="dxa" w:w="158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23/11 – 27/11</w:t>
            </w:r>
          </w:p>
        </w:tc>
        <w:tc>
          <w:tcPr>
            <w:tcW w:type="dxa" w:w="3744"/>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Procesamiento de actas, ceremonia de graduación y entrega de Certificados</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Cierre</w:t>
            </w:r>
          </w:p>
        </w:tc>
        <w:tc>
          <w:tcPr>
            <w:tcW w:type="dxa" w:w="1296"/>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Híbrido (Iquitos/Zoom)</w:t>
            </w:r>
          </w:p>
        </w:tc>
        <w:tc>
          <w:tcPr>
            <w:tcW w:type="dxa" w:w="1008"/>
            <w:vAlign w:val="center"/>
            <w:shd w:fill="FDF7F7"/>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UCV + DREL</w:t>
            </w:r>
          </w:p>
        </w:tc>
      </w:tr>
      <w:tr>
        <w:trPr>
          <w:cantSplit/>
        </w:trPr>
        <w:tc>
          <w:tcPr>
            <w:tcW w:type="dxa" w:w="720"/>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POST</w:t>
            </w:r>
          </w:p>
        </w:tc>
        <w:tc>
          <w:tcPr>
            <w:tcW w:type="dxa" w:w="158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Diciembre 2026</w:t>
            </w:r>
          </w:p>
        </w:tc>
        <w:tc>
          <w:tcPr>
            <w:tcW w:type="dxa" w:w="3744"/>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Sistematización de buenas prácticas e informe final a la DRE Loreto y MINEDU</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Impacto</w:t>
            </w:r>
          </w:p>
        </w:tc>
        <w:tc>
          <w:tcPr>
            <w:tcW w:type="dxa" w:w="1296"/>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Institucional</w:t>
            </w:r>
          </w:p>
        </w:tc>
        <w:tc>
          <w:tcPr>
            <w:tcW w:type="dxa" w:w="1008"/>
            <w:vAlign w:val="center"/>
            <w:shd w:fill="FFFFFF"/>
            <w:tcMar>
              <w:top w:w="100" w:type="dxa"/>
              <w:bottom w:w="100" w:type="dxa"/>
              <w:left w:w="120" w:type="dxa"/>
              <w:right w:w="120" w:type="dxa"/>
            </w:tcMar>
            <w:tcBorders>
              <w:top w:val="single" w:sz="4" w:space="0" w:color="E0D0D0"/>
              <w:bottom w:val="single" w:sz="4" w:space="0" w:color="E0D0D0"/>
              <w:left w:val="single" w:sz="4" w:space="0" w:color="E0D0D0"/>
              <w:right w:val="single" w:sz="4" w:space="0" w:color="E0D0D0"/>
            </w:tcBorders>
          </w:tcPr>
          <w:p>
            <w:r>
              <w:rPr>
                <w:rFonts w:ascii="Calibri" w:hAnsi="Calibri"/>
                <w:color w:val="282828"/>
                <w:sz w:val="19"/>
              </w:rPr>
              <w:t>Dirección UCV Virtual</w:t>
            </w:r>
          </w:p>
        </w:tc>
      </w:tr>
    </w:tbl>
    <w:p>
      <w:pPr>
        <w:spacing w:after="160"/>
      </w:pPr>
    </w:p>
    <w:p>
      <w:pPr>
        <w:pStyle w:val="Heading1"/>
        <w:keepNext/>
        <w:spacing w:before="280" w:after="120"/>
      </w:pPr>
      <w:r>
        <w:rPr>
          <w:rFonts w:ascii="Calibri" w:hAnsi="Calibri"/>
          <w:b/>
          <w:color w:val="B30000"/>
          <w:sz w:val="32"/>
        </w:rPr>
        <w:t>11. MECANISMO DE FORMALIZACIÓN: CONVENIO INTERINSTITUCIONAL</w:t>
      </w:r>
    </w:p>
    <w:p>
      <w:pPr>
        <w:spacing w:after="120" w:line="276" w:lineRule="auto"/>
      </w:pPr>
      <w:r>
        <w:rPr>
          <w:rFonts w:ascii="Calibri" w:hAnsi="Calibri"/>
          <w:i w:val="0"/>
          <w:color w:val="323232"/>
          <w:sz w:val="22"/>
        </w:rPr>
        <w:t>Para garantizar la sostenibilidad, reconocimiento oficial y legalidad del programa, la Universidad César Vallejo (UCV) suscribirá un Convenio Marco y Convenio Específico de Cooperación Docente con la Dirección Regional de Educación de Loreto (DREL):</w:t>
      </w: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left w:val="single" w:sz="24" w:space="0" w:color="B30000"/>
              <w:top w:val="none"/>
              <w:right w:val="none"/>
              <w:bottom w:val="none"/>
            </w:tcBorders>
          </w:tcPr>
          <w:p>
            <w:pPr>
              <w:spacing w:after="80"/>
            </w:pPr>
            <w:r>
              <w:rPr>
                <w:rFonts w:ascii="Calibri" w:hAnsi="Calibri"/>
                <w:b/>
                <w:color w:val="B30000"/>
                <w:sz w:val="23"/>
              </w:rPr>
              <w:t>CLÁUSULAS ESENCIALES DEL CONVENIO ESPECÍFICO UCV – DRE LORETO:</w:t>
            </w:r>
          </w:p>
          <w:p>
            <w:pPr>
              <w:spacing w:after="0" w:line="276" w:lineRule="auto"/>
            </w:pPr>
            <w:r>
              <w:rPr>
                <w:rFonts w:ascii="Calibri" w:hAnsi="Calibri"/>
                <w:color w:val="282828"/>
                <w:sz w:val="21"/>
              </w:rPr>
              <w:t>1. Objeto: Desarrollar conjuntamente el programa de fortalecimiento formativo para 1,200 promotoras de PRONOEI.</w:t>
              <w:br/>
              <w:t>2. Compromisos de la UCV: Brindar el equipo de formadores, la plataforma tecnológica WarmiClass, los materiales académicos, la administración curricular y la certificación universitaria oficial de 120 horas / 5 créditos sin costo alguno para las promotoras.</w:t>
              <w:br/>
              <w:t>3. Compromisos de la DRE Loreto: Facilitar la base de datos de las PEC y PC en las 5 UGEL, habilitar los locales institucionales para los talleres presenciales, respaldar el acompañamiento de las Profesoras Coordinadoras y validar el puntaje para escalafón comunitario.</w:t>
              <w:br/>
              <w:t>4. Vigencia y Coordinación: Vigencia de un (1) año renovable, con una Comisión Bipartita de Coordinación y Monitoreo.</w:t>
            </w:r>
          </w:p>
        </w:tc>
      </w:tr>
    </w:tbl>
    <w:p>
      <w:pPr>
        <w:spacing w:after="80"/>
      </w:pPr>
    </w:p>
    <w:p>
      <w:pPr>
        <w:spacing w:before="600"/>
        <w:jc w:val="center"/>
      </w:pPr>
    </w:p>
    <w:tbl>
      <w:tblPr>
        <w:tblW w:type="auto" w:w="0"/>
        <w:jc w:val="center"/>
        <w:tblLook w:firstColumn="1" w:firstRow="1" w:lastColumn="0" w:lastRow="0" w:noHBand="0" w:noVBand="1" w:val="04A0"/>
      </w:tblPr>
      <w:tblGrid>
        <w:gridCol w:w="4680"/>
        <w:gridCol w:w="4680"/>
      </w:tblGrid>
      <w:tr>
        <w:tc>
          <w:tcPr>
            <w:tcW w:type="dxa" w:w="4608"/>
            <w:shd w:fill="FFFFFF"/>
            <w:tcBorders>
              <w:top w:val="single" w:sz="4" w:space="0" w:color="FFFFFF"/>
              <w:bottom w:val="single" w:sz="4" w:space="0" w:color="FFFFFF"/>
              <w:left w:val="single" w:sz="4" w:space="0" w:color="FFFFFF"/>
              <w:right w:val="single" w:sz="4" w:space="0" w:color="FFFFFF"/>
            </w:tcBorders>
          </w:tcPr>
          <w:p>
            <w:pPr>
              <w:jc w:val="center"/>
            </w:pPr>
            <w:r>
              <w:rPr>
                <w:sz w:val="19"/>
              </w:rPr>
              <w:t>_____________________________________</w:t>
              <w:br/>
              <w:t>UNIVERSIDAD CÉSAR VALLEJO</w:t>
              <w:br/>
              <w:t>Dirección de UCV Virtual</w:t>
              <w:br/>
              <w:t>Vicerrectorado Académico</w:t>
            </w:r>
          </w:p>
        </w:tc>
        <w:tc>
          <w:tcPr>
            <w:tcW w:type="dxa" w:w="4608"/>
            <w:shd w:fill="FFFFFF"/>
            <w:tcBorders>
              <w:top w:val="single" w:sz="4" w:space="0" w:color="FFFFFF"/>
              <w:bottom w:val="single" w:sz="4" w:space="0" w:color="FFFFFF"/>
              <w:left w:val="single" w:sz="4" w:space="0" w:color="FFFFFF"/>
              <w:right w:val="single" w:sz="4" w:space="0" w:color="FFFFFF"/>
            </w:tcBorders>
          </w:tcPr>
          <w:p>
            <w:pPr>
              <w:jc w:val="center"/>
            </w:pPr>
            <w:r>
              <w:rPr>
                <w:sz w:val="19"/>
              </w:rPr>
              <w:t>_____________________________________</w:t>
              <w:br/>
              <w:t>DIRECCIÓN REGIONAL DE EDUCACIÓN</w:t>
              <w:br/>
              <w:t>Gobierno Regional de Loreto</w:t>
              <w:br/>
              <w:t>DRE Loreto / Dirección de Gestión Pedagógica</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7"/>
      </w:rPr>
      <w:t>Estrategia Nacional: Promotoras que dejan huella: Jugar, explorar y acompañar para aprender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69696"/>
        <w:sz w:val="17"/>
      </w:rPr>
      <w:t>PROGRAMA FORMATIVO PRONOEI 2026 | UCV VIRTUAL - DRE LORETO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