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VISTOS</w:t>
      </w:r>
      <w:r w:rsidDel="00000000" w:rsidR="00000000" w:rsidRPr="00000000">
        <w:rPr>
          <w:rtl w:val="0"/>
        </w:rPr>
        <w:t xml:space="preserve">: El escrito de apelación que antecede; y, </w:t>
      </w:r>
      <w:r w:rsidDel="00000000" w:rsidR="00000000" w:rsidRPr="00000000">
        <w:rPr>
          <w:b w:val="1"/>
          <w:rtl w:val="0"/>
        </w:rPr>
        <w:t xml:space="preserve">CONSIDERANDO: </w:t>
      </w:r>
      <w:r w:rsidDel="00000000" w:rsidR="00000000" w:rsidRPr="00000000">
        <w:rPr>
          <w:b w:val="1"/>
          <w:u w:val="single"/>
          <w:rtl w:val="0"/>
        </w:rPr>
        <w:t xml:space="preserve">PRIMERO</w:t>
      </w:r>
      <w:r w:rsidDel="00000000" w:rsidR="00000000" w:rsidRPr="00000000">
        <w:rPr>
          <w:rtl w:val="0"/>
        </w:rPr>
        <w:t xml:space="preserve">.- El artículo 16-C de la Ley N° 30364, señala que: “La resolución que se pronuncia sobre las medidas de protección o cautelares puede ser apelada en la audiencia o dentro de los tres (3) días siguientes de haber sido notificada.” </w:t>
      </w:r>
      <w:r w:rsidDel="00000000" w:rsidR="00000000" w:rsidRPr="00000000">
        <w:rPr>
          <w:b w:val="1"/>
          <w:u w:val="single"/>
          <w:rtl w:val="0"/>
        </w:rPr>
        <w:t xml:space="preserve">SEGUNDO</w:t>
      </w:r>
      <w:r w:rsidDel="00000000" w:rsidR="00000000" w:rsidRPr="00000000">
        <w:rPr>
          <w:b w:val="1"/>
          <w:rtl w:val="0"/>
        </w:rPr>
        <w:t xml:space="preserve">.- </w:t>
      </w:r>
      <w:r w:rsidDel="00000000" w:rsidR="00000000" w:rsidRPr="00000000">
        <w:rPr>
          <w:rtl w:val="0"/>
        </w:rPr>
        <w:t xml:space="preserve">De otro lado, los artículos 366 y 367 del Código Procesal Civil, aplicados supletoriamente en autos, señalan los requisitos de forma y fondo que deben contener los recursos de apelación. Asimismo, el artículo 372 del citado Código, precisa que: Las apelaciones sin efecto suspensivo proceden en los casos expresamente establecidos en la ley y en aquellos en que no procede apelación con efecto suspensivo. </w:t>
      </w:r>
      <w:r w:rsidDel="00000000" w:rsidR="00000000" w:rsidRPr="00000000">
        <w:rPr>
          <w:b w:val="1"/>
          <w:u w:val="single"/>
          <w:rtl w:val="0"/>
        </w:rPr>
        <w:t xml:space="preserve">TERCERO</w:t>
      </w:r>
      <w:r w:rsidDel="00000000" w:rsidR="00000000" w:rsidRPr="00000000">
        <w:rPr>
          <w:b w:val="1"/>
          <w:rtl w:val="0"/>
        </w:rPr>
        <w:t xml:space="preserve">.- </w:t>
      </w:r>
      <w:r w:rsidDel="00000000" w:rsidR="00000000" w:rsidRPr="00000000">
        <w:rPr>
          <w:rtl w:val="0"/>
        </w:rPr>
        <w:t xml:space="preserve">En el caso de autos, </w:t>
      </w:r>
      <w:r w:rsidDel="00000000" w:rsidR="00000000" w:rsidRPr="00000000">
        <w:rPr>
          <w:b w:val="1"/>
          <w:rtl w:val="0"/>
        </w:rPr>
        <w:t xml:space="preserve">${NOMBRE_APELANTE}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interpone recurso de apelación en contra de la resolución número </w:t>
      </w:r>
      <w:r w:rsidDel="00000000" w:rsidR="00000000" w:rsidRPr="00000000">
        <w:rPr>
          <w:b w:val="1"/>
          <w:rtl w:val="0"/>
        </w:rPr>
        <w:t xml:space="preserve">${NUMERO_RESOLUCION}</w:t>
      </w:r>
      <w:r w:rsidDel="00000000" w:rsidR="00000000" w:rsidRPr="00000000">
        <w:rPr>
          <w:rtl w:val="0"/>
        </w:rPr>
        <w:t xml:space="preserve">, siendo notificada dicha parte con fecha </w:t>
      </w:r>
      <w:r w:rsidDel="00000000" w:rsidR="00000000" w:rsidRPr="00000000">
        <w:rPr>
          <w:rtl w:val="0"/>
        </w:rPr>
        <w:t xml:space="preserve">${FECHA_NOTIFICACION}</w:t>
      </w:r>
      <w:r w:rsidDel="00000000" w:rsidR="00000000" w:rsidRPr="00000000">
        <w:rPr>
          <w:rtl w:val="0"/>
        </w:rPr>
        <w:t xml:space="preserve"> y presentando el recurso con fecha </w:t>
      </w:r>
      <w:r w:rsidDel="00000000" w:rsidR="00000000" w:rsidRPr="00000000">
        <w:rPr>
          <w:rtl w:val="0"/>
        </w:rPr>
        <w:t xml:space="preserve">${FECHA_RECURSO}</w:t>
      </w:r>
      <w:r w:rsidDel="00000000" w:rsidR="00000000" w:rsidRPr="00000000">
        <w:rPr>
          <w:rtl w:val="0"/>
        </w:rPr>
        <w:t xml:space="preserve"> por tanto, dentro del plazo establecido, cumpliendo también con los requisitos legales previstos. Fundamentos por los cuales, </w:t>
      </w:r>
      <w:r w:rsidDel="00000000" w:rsidR="00000000" w:rsidRPr="00000000">
        <w:rPr>
          <w:b w:val="1"/>
          <w:rtl w:val="0"/>
        </w:rPr>
        <w:t xml:space="preserve">SE RESUELVE: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CONCEDER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apelación sin efecto suspensivo y sin la calidad de diferida</w:t>
      </w:r>
      <w:r w:rsidDel="00000000" w:rsidR="00000000" w:rsidRPr="00000000">
        <w:rPr>
          <w:rtl w:val="0"/>
        </w:rPr>
        <w:t xml:space="preserve"> contra la resolución número </w:t>
      </w:r>
      <w:r w:rsidDel="00000000" w:rsidR="00000000" w:rsidRPr="00000000">
        <w:rPr>
          <w:rtl w:val="0"/>
        </w:rPr>
        <w:t xml:space="preserve">${NUMERO_RESOLUCION}</w:t>
      </w:r>
      <w:r w:rsidDel="00000000" w:rsidR="00000000" w:rsidRPr="00000000">
        <w:rPr>
          <w:rtl w:val="0"/>
        </w:rPr>
        <w:t xml:space="preserve">  emitida en el expediente </w:t>
      </w:r>
      <w:r w:rsidDel="00000000" w:rsidR="00000000" w:rsidRPr="00000000">
        <w:rPr>
          <w:rtl w:val="0"/>
        </w:rPr>
        <w:t xml:space="preserve">${NUMERO_EXPEDIENTE}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 favor de </w:t>
      </w:r>
      <w:r w:rsidDel="00000000" w:rsidR="00000000" w:rsidRPr="00000000">
        <w:rPr>
          <w:b w:val="1"/>
          <w:rtl w:val="0"/>
        </w:rPr>
        <w:t xml:space="preserve">${NOMBRE_APELANTE}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consecuentemente </w:t>
      </w:r>
      <w:r w:rsidDel="00000000" w:rsidR="00000000" w:rsidRPr="00000000">
        <w:rPr>
          <w:b w:val="1"/>
          <w:rtl w:val="0"/>
        </w:rPr>
        <w:t xml:space="preserve">DISPONGO </w:t>
      </w:r>
      <w:r w:rsidDel="00000000" w:rsidR="00000000" w:rsidRPr="00000000">
        <w:rPr>
          <w:rtl w:val="0"/>
        </w:rPr>
        <w:t xml:space="preserve">la formación del cuaderno de apelación con los actuados pertinentes del cuaderno de ejecución (los cuales serán extraídos del Sistema Integrado del Poder Judicial</w:t>
      </w:r>
      <w:r w:rsidDel="00000000" w:rsidR="00000000" w:rsidRPr="00000000">
        <w:rPr>
          <w:color w:val="202124"/>
          <w:rtl w:val="0"/>
        </w:rPr>
        <w:t xml:space="preserve">)</w:t>
      </w:r>
      <w:r w:rsidDel="00000000" w:rsidR="00000000" w:rsidRPr="00000000">
        <w:rPr>
          <w:rtl w:val="0"/>
        </w:rPr>
        <w:t xml:space="preserve">, hecho y notificado a todas las partes, elévese al Superior en Grado. </w:t>
      </w:r>
      <w:r w:rsidDel="00000000" w:rsidR="00000000" w:rsidRPr="00000000">
        <w:rPr>
          <w:b w:val="1"/>
          <w:rtl w:val="0"/>
        </w:rPr>
        <w:t xml:space="preserve">TÓMESE RAZÓN Y HÁGASE SABER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