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AL ESCRITO N° 76802-2021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VISTOS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El escrito de apersonamiento y apelación, y; </w:t>
      </w:r>
      <w:r w:rsidDel="00000000" w:rsidR="00000000" w:rsidRPr="00000000">
        <w:rPr>
          <w:b w:val="1"/>
          <w:rtl w:val="0"/>
        </w:rPr>
        <w:t xml:space="preserve">CONSIDERANDO: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PRIMERO</w:t>
      </w:r>
      <w:r w:rsidDel="00000000" w:rsidR="00000000" w:rsidRPr="00000000">
        <w:rPr>
          <w:b w:val="1"/>
          <w:rtl w:val="0"/>
        </w:rPr>
        <w:t xml:space="preserve">.- </w:t>
      </w:r>
      <w:r w:rsidDel="00000000" w:rsidR="00000000" w:rsidRPr="00000000">
        <w:rPr>
          <w:rtl w:val="0"/>
        </w:rPr>
        <w:t xml:space="preserve">Que, conforme a lo dispuesto por el Artículo 16-C del D. Leg Nº 1386, que modifica la Ley Nº 30364, Ley para prevenir, sancionar y erradicar la violencia contra las mujeres y los integrantes del grupo familiar, “</w:t>
      </w:r>
      <w:r w:rsidDel="00000000" w:rsidR="00000000" w:rsidRPr="00000000">
        <w:rPr>
          <w:i w:val="1"/>
          <w:rtl w:val="0"/>
        </w:rPr>
        <w:t xml:space="preserve">16-C. La resolución que se pronuncia sobre las medidas de protección o cautelares puede ser apelada en la audiencia o dentro de los tres (3) días siguientes de haber sido notificada. La apelación se concede sin efecto suspensivo en un plazo máximo de tres (3) días contados desde su presentación.”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SEGUNDO</w:t>
      </w:r>
      <w:r w:rsidDel="00000000" w:rsidR="00000000" w:rsidRPr="00000000">
        <w:rPr>
          <w:b w:val="1"/>
          <w:rtl w:val="0"/>
        </w:rPr>
        <w:t xml:space="preserve">.- </w:t>
      </w:r>
      <w:r w:rsidDel="00000000" w:rsidR="00000000" w:rsidRPr="00000000">
        <w:rPr>
          <w:rtl w:val="0"/>
        </w:rPr>
        <w:t xml:space="preserve">Que, el artículo 128° del Código Procesal Civil de aplicación supletoria al presente proceso, establece que el Juez declarará la inadmisibilidad de un acto procesal cuando carece de un requisito de forma o éste se cumple defectuosamente. </w:t>
      </w:r>
      <w:r w:rsidDel="00000000" w:rsidR="00000000" w:rsidRPr="00000000">
        <w:rPr>
          <w:b w:val="1"/>
          <w:u w:val="single"/>
          <w:rtl w:val="0"/>
        </w:rPr>
        <w:t xml:space="preserve">TERCERO</w:t>
      </w:r>
      <w:r w:rsidDel="00000000" w:rsidR="00000000" w:rsidRPr="00000000">
        <w:rPr>
          <w:b w:val="1"/>
          <w:rtl w:val="0"/>
        </w:rPr>
        <w:t xml:space="preserve">.-</w:t>
      </w:r>
      <w:r w:rsidDel="00000000" w:rsidR="00000000" w:rsidRPr="00000000">
        <w:rPr>
          <w:rtl w:val="0"/>
        </w:rPr>
        <w:t xml:space="preserve"> Que, de la revisión de su escrito de apelación presentado por </w:t>
      </w:r>
      <w:r w:rsidDel="00000000" w:rsidR="00000000" w:rsidRPr="00000000">
        <w:rPr>
          <w:b w:val="1"/>
          <w:rtl w:val="0"/>
        </w:rPr>
        <w:t xml:space="preserve">${NOMBRE_APELANTE}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advierte: </w:t>
      </w: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Su recurso impugnatorio no ha sido debidamente </w:t>
      </w:r>
      <w:r w:rsidDel="00000000" w:rsidR="00000000" w:rsidRPr="00000000">
        <w:rPr>
          <w:u w:val="single"/>
          <w:rtl w:val="0"/>
        </w:rPr>
        <w:t xml:space="preserve">suscrito por defensa técnica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abogado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No ha cumplido con sufragar el pago de </w:t>
      </w:r>
      <w:r w:rsidDel="00000000" w:rsidR="00000000" w:rsidRPr="00000000">
        <w:rPr>
          <w:u w:val="single"/>
          <w:rtl w:val="0"/>
        </w:rPr>
        <w:t xml:space="preserve">aranceles judiciales por apelación de auto</w:t>
      </w:r>
      <w:r w:rsidDel="00000000" w:rsidR="00000000" w:rsidRPr="00000000">
        <w:rPr>
          <w:rtl w:val="0"/>
        </w:rPr>
        <w:t xml:space="preserve"> ni los correspondientes por </w:t>
      </w:r>
      <w:r w:rsidDel="00000000" w:rsidR="00000000" w:rsidRPr="00000000">
        <w:rPr>
          <w:u w:val="single"/>
          <w:rtl w:val="0"/>
        </w:rPr>
        <w:t xml:space="preserve">derecho de notificación</w:t>
      </w:r>
      <w:r w:rsidDel="00000000" w:rsidR="00000000" w:rsidRPr="00000000">
        <w:rPr>
          <w:rtl w:val="0"/>
        </w:rPr>
        <w:t xml:space="preserve"> (uno por cada parte del proceso). </w:t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Cumpla con apersonarse conforme a Ley, debiendo para tal caso </w:t>
      </w:r>
      <w:r w:rsidDel="00000000" w:rsidR="00000000" w:rsidRPr="00000000">
        <w:rPr>
          <w:u w:val="single"/>
          <w:rtl w:val="0"/>
        </w:rPr>
        <w:t xml:space="preserve">adjuntar copia simple de su Documento Nacional de Identidad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No ha señalado casilla electrónica. Por las consideraciones antes expuestas, </w:t>
      </w:r>
      <w:r w:rsidDel="00000000" w:rsidR="00000000" w:rsidRPr="00000000">
        <w:rPr>
          <w:b w:val="1"/>
          <w:u w:val="single"/>
          <w:rtl w:val="0"/>
        </w:rPr>
        <w:t xml:space="preserve">SE RESUELVE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DECLARAR INADMISIBLE </w:t>
      </w: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u w:val="single"/>
          <w:rtl w:val="0"/>
        </w:rPr>
        <w:t xml:space="preserve">apersonamiento</w:t>
      </w:r>
      <w:r w:rsidDel="00000000" w:rsidR="00000000" w:rsidRPr="00000000">
        <w:rPr>
          <w:rtl w:val="0"/>
        </w:rPr>
        <w:t xml:space="preserve"> y recurso impugnatorio interpuesto por </w:t>
      </w:r>
      <w:r w:rsidDel="00000000" w:rsidR="00000000" w:rsidRPr="00000000">
        <w:rPr>
          <w:b w:val="1"/>
          <w:rtl w:val="0"/>
        </w:rPr>
        <w:t xml:space="preserve">${NOMBRE_APELANTE}</w:t>
      </w:r>
      <w:r w:rsidDel="00000000" w:rsidR="00000000" w:rsidRPr="00000000">
        <w:rPr>
          <w:rtl w:val="0"/>
        </w:rPr>
        <w:t xml:space="preserve">, en consecuencia, </w:t>
      </w:r>
      <w:r w:rsidDel="00000000" w:rsidR="00000000" w:rsidRPr="00000000">
        <w:rPr>
          <w:b w:val="1"/>
          <w:rtl w:val="0"/>
        </w:rPr>
        <w:t xml:space="preserve">SE LE CONCEDE </w:t>
      </w:r>
      <w:r w:rsidDel="00000000" w:rsidR="00000000" w:rsidRPr="00000000">
        <w:rPr>
          <w:rtl w:val="0"/>
        </w:rPr>
        <w:t xml:space="preserve">el plazo de </w:t>
      </w:r>
      <w:r w:rsidDel="00000000" w:rsidR="00000000" w:rsidRPr="00000000">
        <w:rPr>
          <w:b w:val="1"/>
          <w:rtl w:val="0"/>
        </w:rPr>
        <w:t xml:space="preserve">TRES DÍAS </w:t>
      </w:r>
      <w:r w:rsidDel="00000000" w:rsidR="00000000" w:rsidRPr="00000000">
        <w:rPr>
          <w:rtl w:val="0"/>
        </w:rPr>
        <w:t xml:space="preserve">para que cumpla con subsanar las observaciones efectuadas, </w:t>
      </w:r>
      <w:r w:rsidDel="00000000" w:rsidR="00000000" w:rsidRPr="00000000">
        <w:rPr>
          <w:i w:val="1"/>
          <w:rtl w:val="0"/>
        </w:rPr>
        <w:t xml:space="preserve">bajo apercibimiento en caso de incumplimiento de rechazarse su </w:t>
      </w:r>
      <w:r w:rsidDel="00000000" w:rsidR="00000000" w:rsidRPr="00000000">
        <w:rPr>
          <w:b w:val="1"/>
          <w:u w:val="single"/>
          <w:rtl w:val="0"/>
        </w:rPr>
        <w:t xml:space="preserve">apersonamiento</w:t>
      </w:r>
      <w:r w:rsidDel="00000000" w:rsidR="00000000" w:rsidRPr="00000000">
        <w:rPr>
          <w:i w:val="1"/>
          <w:rtl w:val="0"/>
        </w:rPr>
        <w:t xml:space="preserve"> y recurso impugnatorio</w:t>
      </w:r>
      <w:r w:rsidDel="00000000" w:rsidR="00000000" w:rsidRPr="00000000">
        <w:rPr>
          <w:rtl w:val="0"/>
        </w:rPr>
        <w:t xml:space="preserve">. Autorizándose por única vez la notificación a la casilla electrónica o teléfono celular señalado en el escrito precedente. </w:t>
      </w:r>
      <w:r w:rsidDel="00000000" w:rsidR="00000000" w:rsidRPr="00000000">
        <w:rPr>
          <w:b w:val="1"/>
          <w:rtl w:val="0"/>
        </w:rPr>
        <w:t xml:space="preserve">TÓMESE RAZÓN Y HÁGASE SABER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