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Ttulo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Sinespaciado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Sinespaciado"/>
      </w:pPr>
    </w:p>
    <w:p w14:paraId="5C67A342" w14:textId="0D571F26" w:rsidR="008A26BB" w:rsidRPr="007837EF" w:rsidRDefault="008A26BB" w:rsidP="00957161">
      <w:pPr>
        <w:pStyle w:val="Sinespaciado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AA6C3F">
        <w:rPr>
          <w:sz w:val="28"/>
          <w:szCs w:val="28"/>
        </w:rPr>
        <w:t>Mauro Villalba</w:t>
      </w:r>
    </w:p>
    <w:p w14:paraId="695C6B0A" w14:textId="48FA31FE" w:rsidR="00E1426C" w:rsidRPr="00D3012E" w:rsidRDefault="00E1426C" w:rsidP="00E1426C">
      <w:pPr>
        <w:pStyle w:val="Ttulo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Sinespaciado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Sinespaciado"/>
      </w:pPr>
    </w:p>
    <w:p w14:paraId="672B9C5B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Sinespaciado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Sinespaciado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Sinespaciado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Sinespaciado"/>
      </w:pPr>
    </w:p>
    <w:p w14:paraId="5DB16334" w14:textId="3649DC47" w:rsidR="00E1426C" w:rsidRDefault="00E1426C" w:rsidP="00E1426C">
      <w:pPr>
        <w:pStyle w:val="Sinespaciado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Ttulo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Sinespaciado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Sinespaciado"/>
      </w:pPr>
    </w:p>
    <w:tbl>
      <w:tblPr>
        <w:tblStyle w:val="Tablaconcuadrcula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Sinespaciad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Sinespaciado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Sinespaciado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Sinespaciado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aconcuadrcula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Sinespaciad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Sinespaciad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Sinespaciado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Sinespaciado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Sinespaciad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Sinespaciado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Sinespaciado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Prrafodelista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aconcuadrcula"/>
        <w:tblW w:w="9810" w:type="dxa"/>
        <w:tblInd w:w="-275" w:type="dxa"/>
        <w:tblLook w:val="04A0" w:firstRow="1" w:lastRow="0" w:firstColumn="1" w:lastColumn="0" w:noHBand="0" w:noVBand="1"/>
      </w:tblPr>
      <w:tblGrid>
        <w:gridCol w:w="2854"/>
        <w:gridCol w:w="855"/>
        <w:gridCol w:w="995"/>
        <w:gridCol w:w="5106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Sinespaciad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Sinespaciad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Sinespaciado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537958FA" w:rsidR="00A91CD6" w:rsidRPr="00542834" w:rsidRDefault="003F3D75" w:rsidP="00D93BF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03DEAEAE" w14:textId="645B11D4" w:rsidR="00A91CD6" w:rsidRPr="00542834" w:rsidRDefault="003F3D75" w:rsidP="00D20E63">
            <w:pPr>
              <w:pStyle w:val="Sinespaciado"/>
            </w:pPr>
            <w:r>
              <w:t>2</w:t>
            </w:r>
          </w:p>
        </w:tc>
        <w:tc>
          <w:tcPr>
            <w:tcW w:w="5181" w:type="dxa"/>
          </w:tcPr>
          <w:p w14:paraId="10DFFD24" w14:textId="14A82EC2" w:rsidR="00A91CD6" w:rsidRPr="00542834" w:rsidRDefault="003F3D75" w:rsidP="00D20E63">
            <w:pPr>
              <w:pStyle w:val="Sinespaciado"/>
            </w:pPr>
            <w:r w:rsidRPr="003F3D75">
              <w:t>When I started the Movies MV project, I was curious about how to create an interactive movie catalog. I researched different movie APIs and discovered TheMovieDB, which offered comprehensive data. Rather than just displaying basic information, I creatively designed the application to be visually engaging with movie posters and dynamic content loading.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0D08C54" w14:textId="14C7E3C2" w:rsidR="00A91CD6" w:rsidRPr="00542834" w:rsidRDefault="003F3D75" w:rsidP="00D20E63">
            <w:pPr>
              <w:pStyle w:val="Sinespaciado"/>
            </w:pPr>
            <w:r>
              <w:t>3</w:t>
            </w:r>
          </w:p>
        </w:tc>
        <w:tc>
          <w:tcPr>
            <w:tcW w:w="5181" w:type="dxa"/>
          </w:tcPr>
          <w:p w14:paraId="1BA45679" w14:textId="542E229D" w:rsidR="00A91CD6" w:rsidRPr="00542834" w:rsidRDefault="003F3D75" w:rsidP="00D20E63">
            <w:pPr>
              <w:pStyle w:val="Sinespaciado"/>
            </w:pPr>
            <w:r w:rsidRPr="003F3D75">
              <w:t>I was curious about how to make the movie browsing experience more immersive. I creatively implemented movie backdrop images as page backgrounds with semi-transparent overlays for the movie details. This went beyond the basic requirements and created a more cinema-like experience when viewing movie details.</w:t>
            </w: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Sinespaciado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333D1E56" w:rsidR="00A91CD6" w:rsidRPr="00542834" w:rsidRDefault="005676EA" w:rsidP="00D93BF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74ED424" w14:textId="723BC673" w:rsidR="00A91CD6" w:rsidRPr="00542834" w:rsidRDefault="003F3D75" w:rsidP="00D20E63">
            <w:pPr>
              <w:pStyle w:val="Sinespaciado"/>
            </w:pPr>
            <w:r>
              <w:t>2</w:t>
            </w:r>
          </w:p>
        </w:tc>
        <w:tc>
          <w:tcPr>
            <w:tcW w:w="5181" w:type="dxa"/>
          </w:tcPr>
          <w:p w14:paraId="262D7199" w14:textId="132211C7" w:rsidR="00A91CD6" w:rsidRPr="00542834" w:rsidRDefault="003F3D75" w:rsidP="00D20E63">
            <w:pPr>
              <w:pStyle w:val="Sinespaciado"/>
            </w:pPr>
            <w:r w:rsidRPr="003F3D75">
              <w:t>While developing the movie listing feature, I explored the browser's developer tools to understand how the API responses were structured. This exploration helped me identify additional data fields I could use to enhance the user interface, such as vote averages and release dates.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004C244D" w14:textId="38109227" w:rsidR="00A91CD6" w:rsidRPr="00542834" w:rsidRDefault="003F3D75" w:rsidP="00D20E63">
            <w:pPr>
              <w:pStyle w:val="Sinespaciado"/>
            </w:pPr>
            <w:r>
              <w:t>3</w:t>
            </w:r>
          </w:p>
        </w:tc>
        <w:tc>
          <w:tcPr>
            <w:tcW w:w="5181" w:type="dxa"/>
          </w:tcPr>
          <w:p w14:paraId="04193CD9" w14:textId="6B273622" w:rsidR="00A91CD6" w:rsidRPr="00542834" w:rsidRDefault="003F3D75" w:rsidP="00D20E63">
            <w:pPr>
              <w:pStyle w:val="Sinespaciado"/>
            </w:pPr>
            <w:r w:rsidRPr="003F3D75">
              <w:t>To implement the favorites functionality, I needed to understand how localStorage works. I thoroughly explored the browser's storage capabilities and learned how to properly serialize and deserialize JSON data for persistence between sessions. This exploration led to a robust favorites system that maintains user selections.</w:t>
            </w: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Sinespaciado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4AC19764" w:rsidR="00A91CD6" w:rsidRPr="00542834" w:rsidRDefault="005676EA" w:rsidP="00D93BF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24D4F6C7" w14:textId="6EC3A766" w:rsidR="00A91CD6" w:rsidRPr="00542834" w:rsidRDefault="003F3D75" w:rsidP="00D20E63">
            <w:pPr>
              <w:pStyle w:val="Sinespaciado"/>
            </w:pPr>
            <w:r>
              <w:t>3</w:t>
            </w:r>
          </w:p>
        </w:tc>
        <w:tc>
          <w:tcPr>
            <w:tcW w:w="5181" w:type="dxa"/>
          </w:tcPr>
          <w:p w14:paraId="190C021E" w14:textId="1F218EFA" w:rsidR="00A91CD6" w:rsidRPr="00542834" w:rsidRDefault="003F3D75" w:rsidP="00D20E63">
            <w:pPr>
              <w:pStyle w:val="Sinespaciado"/>
            </w:pPr>
            <w:r w:rsidRPr="003F3D75">
              <w:t>During the initial phase of my project, I struggled with understanding how to structure the API calls efficiently. I reached out to a classmate who had experience working with external APIs, and they helped me understand the best practices for organizing fetch requests and error handling. This exchange gave me a solid foundation for building the Movies MV application, and I appreciated how a brief conversation saved me hours of trial and error.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C7478B8" w14:textId="4F84A9BF" w:rsidR="00A91CD6" w:rsidRPr="00542834" w:rsidRDefault="003F3D75" w:rsidP="00D20E63">
            <w:pPr>
              <w:pStyle w:val="Sinespaciado"/>
            </w:pPr>
            <w:r>
              <w:t>4</w:t>
            </w:r>
          </w:p>
        </w:tc>
        <w:tc>
          <w:tcPr>
            <w:tcW w:w="5181" w:type="dxa"/>
          </w:tcPr>
          <w:p w14:paraId="2B47FDB7" w14:textId="34BB5754" w:rsidR="00A91CD6" w:rsidRPr="00542834" w:rsidRDefault="003F3D75" w:rsidP="00D20E63">
            <w:pPr>
              <w:pStyle w:val="Sinespaciado"/>
            </w:pPr>
            <w:r w:rsidRPr="003F3D75">
              <w:t>A classmate was struggling with implementing animations in their project. Drawing from my experience creating the "jello-vertical" animation effect for movie selections, I spent time explaining how CSS animations work and how to trigger them with JavaScript. Seeing them successfully implement animations in their own project was highly rewarding.</w:t>
            </w: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Sinespaciado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FD9C279" w:rsidR="00A91CD6" w:rsidRPr="00542834" w:rsidRDefault="005676EA" w:rsidP="00D93BF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3A18BEEA" w14:textId="1A155135" w:rsidR="00A91CD6" w:rsidRPr="00542834" w:rsidRDefault="003F3D75" w:rsidP="00D20E63">
            <w:pPr>
              <w:pStyle w:val="Sinespaciado"/>
            </w:pPr>
            <w:r>
              <w:t>4</w:t>
            </w:r>
          </w:p>
        </w:tc>
        <w:tc>
          <w:tcPr>
            <w:tcW w:w="5181" w:type="dxa"/>
          </w:tcPr>
          <w:p w14:paraId="6260E348" w14:textId="22AF4F8F" w:rsidR="00A91CD6" w:rsidRPr="00542834" w:rsidRDefault="003F3D75" w:rsidP="00D20E63">
            <w:pPr>
              <w:pStyle w:val="Sinespaciado"/>
            </w:pPr>
            <w:r w:rsidRPr="003F3D75">
              <w:t>For the Movies MV project, I applied a divide and conquer strategy by breaking the development into separate components: movie listing, pagination, movie details, and favorites management. This approach allowed me to focus on one feature at a time and ensured that each component worked correctly before moving on.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5821C323" w14:textId="2B0DE7A3" w:rsidR="00A91CD6" w:rsidRPr="00542834" w:rsidRDefault="003F3D75" w:rsidP="00D20E63">
            <w:pPr>
              <w:pStyle w:val="Sinespaciado"/>
            </w:pPr>
            <w:r>
              <w:t>5</w:t>
            </w:r>
          </w:p>
        </w:tc>
        <w:tc>
          <w:tcPr>
            <w:tcW w:w="5181" w:type="dxa"/>
          </w:tcPr>
          <w:p w14:paraId="2247F912" w14:textId="79177FEF" w:rsidR="00A91CD6" w:rsidRPr="00542834" w:rsidRDefault="003F3D75" w:rsidP="00D20E63">
            <w:pPr>
              <w:pStyle w:val="Sinespaciado"/>
            </w:pPr>
            <w:r w:rsidRPr="003F3D75">
              <w:t>When implementing the actor information section, I divided the task into three distinct steps: first retrieving the cast data from the API, then creating the visual layout for the actor cards, and finally adding the animation effects. This methodical approach made a complex feature more manageable and resulted in cleaner, more maintainable code.</w:t>
            </w: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Sinespaciado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Sinespaciado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Sinespaciado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6C278826" w:rsidR="00A91CD6" w:rsidRPr="00542834" w:rsidRDefault="005676EA" w:rsidP="00D93BF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B174311" w14:textId="7D3FC0CC" w:rsidR="00A91CD6" w:rsidRPr="00542834" w:rsidRDefault="003F3D75" w:rsidP="00D20E63">
            <w:pPr>
              <w:pStyle w:val="Sinespaciado"/>
            </w:pPr>
            <w:r>
              <w:t>6</w:t>
            </w:r>
          </w:p>
        </w:tc>
        <w:tc>
          <w:tcPr>
            <w:tcW w:w="5181" w:type="dxa"/>
          </w:tcPr>
          <w:p w14:paraId="4674DD75" w14:textId="6214AB1C" w:rsidR="00A91CD6" w:rsidRPr="00542834" w:rsidRDefault="003F3D75" w:rsidP="00D20E63">
            <w:pPr>
              <w:pStyle w:val="Sinespaciado"/>
            </w:pPr>
            <w:r w:rsidRPr="003F3D75">
              <w:t xml:space="preserve">I encountered a critical bug where removing a movie from favorites wouldn't update the UI without refreshing the page. Using console.log statements and the browser's developer tools, I traced the issue to an event propagation problem. I implemented a solution that directly manipulates the DOM after updating </w:t>
            </w:r>
            <w:r w:rsidRPr="003F3D75">
              <w:lastRenderedPageBreak/>
              <w:t>localStorage, complete with a fade-out animation for removed items.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999" w:type="dxa"/>
          </w:tcPr>
          <w:p w14:paraId="787FB479" w14:textId="7A70B037" w:rsidR="00A91CD6" w:rsidRPr="00542834" w:rsidRDefault="003F3D75" w:rsidP="00D20E63">
            <w:pPr>
              <w:pStyle w:val="Sinespaciado"/>
            </w:pPr>
            <w:r>
              <w:t>6</w:t>
            </w:r>
          </w:p>
        </w:tc>
        <w:tc>
          <w:tcPr>
            <w:tcW w:w="5181" w:type="dxa"/>
          </w:tcPr>
          <w:p w14:paraId="563B81D0" w14:textId="65BB40F7" w:rsidR="00A91CD6" w:rsidRPr="00542834" w:rsidRDefault="003F3D75" w:rsidP="00D20E63">
            <w:pPr>
              <w:pStyle w:val="Sinespaciado"/>
            </w:pPr>
            <w:r w:rsidRPr="003F3D75">
              <w:t>During final testing, I discovered that the similar movies section wasn't loading properly when certain movies had no similar titles in the API. By examining the network requests and response data, I identified the issue and implemented proper error handling and conditional rendering to ensure the UI remained consistent even when data was missing. This improved the overall reliability of the application.</w:t>
            </w: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Sinespaciado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Sinespaciado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Sinespaciado"/>
            </w:pPr>
          </w:p>
        </w:tc>
      </w:tr>
    </w:tbl>
    <w:p w14:paraId="0CBF3A60" w14:textId="1F2F2A4D" w:rsidR="00311806" w:rsidRPr="004B2837" w:rsidRDefault="00311806" w:rsidP="00F12D4E">
      <w:pPr>
        <w:pStyle w:val="Sinespaciado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63153"/>
    <w:rsid w:val="003A14A8"/>
    <w:rsid w:val="003B7FC4"/>
    <w:rsid w:val="003C5C09"/>
    <w:rsid w:val="003D3268"/>
    <w:rsid w:val="003F0D5D"/>
    <w:rsid w:val="003F3D75"/>
    <w:rsid w:val="003F7011"/>
    <w:rsid w:val="004072B0"/>
    <w:rsid w:val="004361E9"/>
    <w:rsid w:val="004B2837"/>
    <w:rsid w:val="004C2268"/>
    <w:rsid w:val="004D15A1"/>
    <w:rsid w:val="00542834"/>
    <w:rsid w:val="005676EA"/>
    <w:rsid w:val="00584D86"/>
    <w:rsid w:val="005C5A58"/>
    <w:rsid w:val="006D5F62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33CF6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6C3F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Sinespaciado">
    <w:name w:val="No Spacing"/>
    <w:uiPriority w:val="1"/>
    <w:qFormat/>
    <w:rsid w:val="00E1426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aconcuadrcula1clara">
    <w:name w:val="Grid Table 1 Light"/>
    <w:basedOn w:val="Tabla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A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Villalba, Mauro Nicolas</cp:lastModifiedBy>
  <cp:revision>3</cp:revision>
  <dcterms:created xsi:type="dcterms:W3CDTF">2025-04-17T18:34:00Z</dcterms:created>
  <dcterms:modified xsi:type="dcterms:W3CDTF">2025-04-17T18:35:00Z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