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  <w:sz w:val="26"/>
        </w:rPr>
        <w:t>1. List the non-functional requirements.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312"/>
        <w:gridCol w:w="3312"/>
        <w:gridCol w:w="3312"/>
      </w:tblGrid>
      <w:tr>
        <w:tc>
          <w:tcPr>
            <w:tcW w:type="dxa" w:w="4896"/>
            <w:gridSpan w:val="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CC0000"/>
                <w:sz w:val="22"/>
              </w:rPr>
              <w:t>Non-Functional Requirements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CC0000"/>
                <w:sz w:val="22"/>
              </w:rPr>
              <w:t>System Requirements</w:t>
            </w:r>
          </w:p>
        </w:tc>
      </w:tr>
      <w:tr>
        <w:tc>
          <w:tcPr>
            <w:tcW w:type="dxa" w:w="2160"/>
            <w:vMerge w:val="restart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CC0000"/>
                <w:sz w:val="19"/>
              </w:rPr>
              <w:t>2.1</w:t>
              <w:br/>
              <w:t>Operational</w:t>
            </w:r>
          </w:p>
          <w:p>
            <w:r>
              <w:rPr>
                <w:b/>
                <w:color w:val="CC0000"/>
                <w:sz w:val="19"/>
              </w:rPr>
              <w:t>2.1</w:t>
              <w:br/>
              <w:t>Operational</w:t>
            </w:r>
          </w:p>
          <w:p>
            <w:r>
              <w:rPr>
                <w:b/>
                <w:color w:val="CC0000"/>
                <w:sz w:val="19"/>
              </w:rPr>
              <w:t>2.1</w:t>
              <w:br/>
              <w:t>Operational</w:t>
            </w:r>
          </w:p>
          <w:p>
            <w:r>
              <w:rPr>
                <w:b/>
                <w:color w:val="CC0000"/>
                <w:sz w:val="19"/>
              </w:rPr>
              <w:t>2.1</w:t>
              <w:br/>
              <w:t>Operational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CC0000"/>
                <w:sz w:val="19"/>
              </w:rPr>
              <w:t>Technical Environment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• Central server runs on a Windows 10/11 desktop PC.</w:t>
              <w:br/>
              <w:t>• Staff terminals run on Android tablets, iPads, or smartphones via web browser or Android APK.</w:t>
              <w:br/>
              <w:t>• Connects locally using a Wi-Fi router (LAN) with no internet required.</w:t>
              <w:br/>
              <w:t>• Uses local MySQL / SQLite database.</w:t>
            </w:r>
          </w:p>
        </w:tc>
      </w:tr>
      <w:tr>
        <w:tc>
          <w:tcPr>
            <w:tcW w:type="dxa" w:w="2160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CC0000"/>
                <w:sz w:val="19"/>
              </w:rPr>
              <w:t>System Integration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• Syncs tablet kiosks to the PC server via local HTTP REST API (port 8000).</w:t>
              <w:br/>
              <w:t>• Connects to POS thermal receipt printers (80mm) and standard printers.</w:t>
              <w:br/>
              <w:t>• Integrates with PDF and Excel engines for contracts and reports.</w:t>
            </w:r>
          </w:p>
        </w:tc>
      </w:tr>
      <w:tr>
        <w:tc>
          <w:tcPr>
            <w:tcW w:type="dxa" w:w="2160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CC0000"/>
                <w:sz w:val="19"/>
              </w:rPr>
              <w:t>Portability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• Desktop app runs via a standalone Windows setup installer.</w:t>
              <w:br/>
              <w:t>• Tablet ordering app is accessible on any device with a modern browser or Android APK.</w:t>
            </w:r>
          </w:p>
        </w:tc>
      </w:tr>
      <w:tr>
        <w:tc>
          <w:tcPr>
            <w:tcW w:type="dxa" w:w="2160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CC0000"/>
                <w:sz w:val="19"/>
              </w:rPr>
              <w:t>Maintainability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• Automatically runs database updates/migrations on startup.</w:t>
              <w:br/>
              <w:t>• Cleanly separates UI screens, database queries, and networking for easy updates.</w:t>
            </w:r>
          </w:p>
        </w:tc>
      </w:tr>
      <w:tr>
        <w:tc>
          <w:tcPr>
            <w:tcW w:type="dxa" w:w="2160"/>
            <w:vMerge w:val="restart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CC0000"/>
                <w:sz w:val="19"/>
              </w:rPr>
              <w:t>2.2</w:t>
              <w:br/>
              <w:t>Performance</w:t>
            </w:r>
          </w:p>
          <w:p>
            <w:r>
              <w:rPr>
                <w:b/>
                <w:color w:val="CC0000"/>
                <w:sz w:val="19"/>
              </w:rPr>
              <w:t>2.2</w:t>
              <w:br/>
              <w:t>Performance</w:t>
            </w:r>
          </w:p>
          <w:p>
            <w:r>
              <w:rPr>
                <w:b/>
                <w:color w:val="CC0000"/>
                <w:sz w:val="19"/>
              </w:rPr>
              <w:t>2.2</w:t>
              <w:br/>
              <w:t>Performance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CC0000"/>
                <w:sz w:val="19"/>
              </w:rPr>
              <w:t>Speed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• Form clicks, menu package loads, and searches respond in under 0.5 seconds.</w:t>
              <w:br/>
              <w:t>• Orders sent from tablets show up on the desktop server in under 1 second.</w:t>
              <w:br/>
              <w:t>• Printing and PDF contract generation take less than 2 seconds.</w:t>
            </w:r>
          </w:p>
        </w:tc>
      </w:tr>
      <w:tr>
        <w:tc>
          <w:tcPr>
            <w:tcW w:type="dxa" w:w="2160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CC0000"/>
                <w:sz w:val="19"/>
              </w:rPr>
              <w:t>Capacity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• Supports 5 to 10 staff tablets connected at the same time without lagging.</w:t>
              <w:br/>
              <w:t>• Database can store over 10,000 bookings and 50,000 payment records.</w:t>
            </w:r>
          </w:p>
        </w:tc>
      </w:tr>
      <w:tr>
        <w:tc>
          <w:tcPr>
            <w:tcW w:type="dxa" w:w="2160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CC0000"/>
                <w:sz w:val="19"/>
              </w:rPr>
              <w:t>Availability and Reliability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• Works 100% offline so it never crashes or stops when internet is down.</w:t>
              <w:br/>
              <w:t>• Automatic local database backups prevent data loss during power outages.</w:t>
            </w:r>
          </w:p>
        </w:tc>
      </w:tr>
      <w:tr>
        <w:tc>
          <w:tcPr>
            <w:tcW w:type="dxa" w:w="2160"/>
            <w:vMerge w:val="restart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CC0000"/>
                <w:sz w:val="19"/>
              </w:rPr>
              <w:t>2.3</w:t>
              <w:br/>
              <w:t>Security</w:t>
            </w:r>
          </w:p>
          <w:p>
            <w:r>
              <w:rPr>
                <w:b/>
                <w:color w:val="CC0000"/>
                <w:sz w:val="19"/>
              </w:rPr>
              <w:t>2.3</w:t>
              <w:br/>
              <w:t>Security</w:t>
            </w:r>
          </w:p>
          <w:p>
            <w:r>
              <w:rPr>
                <w:b/>
                <w:color w:val="CC0000"/>
                <w:sz w:val="19"/>
              </w:rPr>
              <w:t>2.3</w:t>
              <w:br/>
              <w:t>Security</w:t>
            </w:r>
          </w:p>
          <w:p>
            <w:r>
              <w:rPr>
                <w:b/>
                <w:color w:val="CC0000"/>
                <w:sz w:val="19"/>
              </w:rPr>
              <w:t>2.3</w:t>
              <w:br/>
              <w:t>Security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CC0000"/>
                <w:sz w:val="19"/>
              </w:rPr>
              <w:t>System Value Estimates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• Protects customer contact info, booking schedules, food pricing, and payment records.</w:t>
              <w:br/>
              <w:t>• Prevents data loss that could cause double-booking venues or lost revenue.</w:t>
            </w:r>
          </w:p>
        </w:tc>
      </w:tr>
      <w:tr>
        <w:tc>
          <w:tcPr>
            <w:tcW w:type="dxa" w:w="2160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CC0000"/>
                <w:sz w:val="19"/>
              </w:rPr>
              <w:t>Access Control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• Uses role accounts (Admin/Owner, Cashier/Staff, and Tablet Kiosk).</w:t>
              <w:br/>
              <w:t>• Requires Owner password/PIN to delete bookings, change prices, or reset data.</w:t>
            </w:r>
          </w:p>
        </w:tc>
      </w:tr>
      <w:tr>
        <w:tc>
          <w:tcPr>
            <w:tcW w:type="dxa" w:w="2160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CC0000"/>
                <w:sz w:val="19"/>
              </w:rPr>
              <w:t>Encryption and Authentication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• Stores user passwords using secure password hashing (bcrypt / SHA-256).</w:t>
              <w:br/>
              <w:t>• Requires device authentication before tablets can connect to the PC server.</w:t>
            </w:r>
          </w:p>
        </w:tc>
      </w:tr>
      <w:tr>
        <w:tc>
          <w:tcPr>
            <w:tcW w:type="dxa" w:w="2160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CC0000"/>
                <w:sz w:val="19"/>
              </w:rPr>
              <w:t>Virus Control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• Built with clean Windows executables safe for Windows Defender.</w:t>
              <w:br/>
              <w:t>• Uses parameterized database queries to block SQL injection attacks.</w:t>
            </w:r>
          </w:p>
        </w:tc>
      </w:tr>
      <w:tr>
        <w:tc>
          <w:tcPr>
            <w:tcW w:type="dxa" w:w="2160"/>
            <w:vMerge w:val="restart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CC0000"/>
                <w:sz w:val="19"/>
              </w:rPr>
              <w:t>2.4</w:t>
              <w:br/>
              <w:t>Cultural and</w:t>
              <w:br/>
              <w:t>Political</w:t>
            </w:r>
          </w:p>
          <w:p>
            <w:r>
              <w:rPr>
                <w:b/>
                <w:color w:val="CC0000"/>
                <w:sz w:val="19"/>
              </w:rPr>
              <w:t>2.4</w:t>
              <w:br/>
              <w:t>Cultural and</w:t>
              <w:br/>
              <w:t>Political</w:t>
            </w:r>
          </w:p>
          <w:p>
            <w:r>
              <w:rPr>
                <w:b/>
                <w:color w:val="CC0000"/>
                <w:sz w:val="19"/>
              </w:rPr>
              <w:t>2.4</w:t>
              <w:br/>
              <w:t>Cultural and</w:t>
              <w:br/>
              <w:t>Political</w:t>
            </w:r>
          </w:p>
          <w:p>
            <w:r>
              <w:rPr>
                <w:b/>
                <w:color w:val="CC0000"/>
                <w:sz w:val="19"/>
              </w:rPr>
              <w:t>2.4</w:t>
              <w:br/>
              <w:t>Cultural and</w:t>
              <w:br/>
              <w:t>Political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CC0000"/>
                <w:sz w:val="19"/>
              </w:rPr>
              <w:t>Multilingual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• Uses Philippine English with local catering terms (Debut, Fiesta, Pakyaw, Lechon, Pax).</w:t>
              <w:br/>
              <w:t>• Standardizes currency in Philippine Peso (₱) and local date/time formats.</w:t>
            </w:r>
          </w:p>
        </w:tc>
      </w:tr>
      <w:tr>
        <w:tc>
          <w:tcPr>
            <w:tcW w:type="dxa" w:w="2160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CC0000"/>
                <w:sz w:val="19"/>
              </w:rPr>
              <w:t>Customization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• Has Dark and Light mode themes with custom color accents.</w:t>
              <w:br/>
              <w:t>• Supports custom package pricing (per-pax rates and ₱0.00 freebie inclusions).</w:t>
              <w:br/>
              <w:t>• Customizable business logo and contact info on printed receipts.</w:t>
            </w:r>
          </w:p>
        </w:tc>
      </w:tr>
      <w:tr>
        <w:tc>
          <w:tcPr>
            <w:tcW w:type="dxa" w:w="2160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CC0000"/>
                <w:sz w:val="19"/>
              </w:rPr>
              <w:t>Making Unstated Norms Explicit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• Enforces required downpayment deposits before confirming event dates.</w:t>
              <w:br/>
              <w:t>• Warns if the same venue and date are already booked (no double-booking).</w:t>
              <w:br/>
              <w:t>• Separates actual cash collected from total contract revenue in reports.</w:t>
            </w:r>
          </w:p>
        </w:tc>
      </w:tr>
      <w:tr>
        <w:tc>
          <w:tcPr>
            <w:tcW w:type="dxa" w:w="2160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CC0000"/>
                <w:sz w:val="19"/>
              </w:rPr>
              <w:t>Legal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• Complies with the Philippine Data Privacy Act (RA 10173) to protect client personal data.</w:t>
              <w:br/>
              <w:t>• Generates clear transaction receipts and billing audit trails.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