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400115966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704715" cy="12185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04715" cy="12185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PC 317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Systems Analysis and Design </w:t>
      </w:r>
    </w:p>
    <w:tbl>
      <w:tblPr>
        <w:tblStyle w:val="Table1"/>
        <w:tblW w:w="88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17.000274658203"/>
        <w:gridCol w:w="2342.9998779296875"/>
        <w:tblGridChange w:id="0">
          <w:tblGrid>
            <w:gridCol w:w="6517.000274658203"/>
            <w:gridCol w:w="2342.9998779296875"/>
          </w:tblGrid>
        </w:tblGridChange>
      </w:tblGrid>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32855224609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Worksheet No. 5: Economic Feasibility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06884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w:t>
            </w:r>
          </w:p>
        </w:tc>
      </w:tr>
      <w:tr>
        <w:trPr>
          <w:cantSplit w:val="0"/>
          <w:trHeight w:val="1022.3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2304.7552490234375" w:firstLine="0"/>
              <w:rPr>
                <w:b w:val="1"/>
                <w:bCs w:val="1"/>
                <w:sz w:val="24"/>
                <w:szCs w:val="24"/>
              </w:rPr>
            </w:pPr>
            <w:r w:rsidDel="00000000" w:rsidR="00000000" w:rsidRPr="00000000">
              <w:rPr>
                <w:b w:val="1"/>
                <w:bCs w:val="1"/>
                <w:sz w:val="24"/>
                <w:szCs w:val="24"/>
                <w:rtl w:val="0"/>
              </w:rPr>
              <w:t xml:space="preserve">1. Armenta, Mikka</w:t>
            </w:r>
          </w:p>
          <w:p w:rsidR="00000000" w:rsidDel="00000000" w:rsidP="00000000" w:rsidRDefault="00000000" w:rsidRPr="00000000" w14:paraId="00000007">
            <w:pPr>
              <w:widowControl w:val="0"/>
              <w:spacing w:line="240" w:lineRule="auto"/>
              <w:ind w:left="2295.2606201171875" w:firstLine="0"/>
              <w:rPr>
                <w:b w:val="1"/>
                <w:bCs w:val="1"/>
                <w:sz w:val="24"/>
                <w:szCs w:val="24"/>
              </w:rPr>
            </w:pPr>
            <w:r w:rsidDel="00000000" w:rsidR="00000000" w:rsidRPr="00000000">
              <w:rPr>
                <w:b w:val="1"/>
                <w:bCs w:val="1"/>
                <w:sz w:val="24"/>
                <w:szCs w:val="24"/>
                <w:rtl w:val="0"/>
              </w:rPr>
              <w:t xml:space="preserve">2. Ilustrisimo, Daniel Grant</w:t>
            </w:r>
          </w:p>
          <w:p w:rsidR="00000000" w:rsidDel="00000000" w:rsidP="00000000" w:rsidRDefault="00000000" w:rsidRPr="00000000" w14:paraId="00000008">
            <w:pPr>
              <w:widowControl w:val="0"/>
              <w:spacing w:line="240" w:lineRule="auto"/>
              <w:ind w:left="121.4111328125" w:firstLine="0"/>
              <w:rPr>
                <w:b w:val="1"/>
                <w:bCs w:val="1"/>
                <w:sz w:val="24"/>
                <w:szCs w:val="24"/>
              </w:rPr>
            </w:pPr>
            <w:r w:rsidDel="00000000" w:rsidR="00000000" w:rsidRPr="00000000">
              <w:rPr>
                <w:b w:val="1"/>
                <w:bCs w:val="1"/>
                <w:sz w:val="24"/>
                <w:szCs w:val="24"/>
                <w:rtl w:val="0"/>
              </w:rPr>
              <w:t xml:space="preserve">Student Names: </w:t>
            </w:r>
          </w:p>
          <w:p w:rsidR="00000000" w:rsidDel="00000000" w:rsidP="00000000" w:rsidRDefault="00000000" w:rsidRPr="00000000" w14:paraId="00000009">
            <w:pPr>
              <w:widowControl w:val="0"/>
              <w:spacing w:line="240" w:lineRule="auto"/>
              <w:ind w:left="2295.4815673828125" w:firstLine="0"/>
              <w:rPr>
                <w:b w:val="1"/>
                <w:bCs w:val="1"/>
                <w:sz w:val="24"/>
                <w:szCs w:val="24"/>
              </w:rPr>
            </w:pPr>
            <w:r w:rsidDel="00000000" w:rsidR="00000000" w:rsidRPr="00000000">
              <w:rPr>
                <w:b w:val="1"/>
                <w:bCs w:val="1"/>
                <w:sz w:val="24"/>
                <w:szCs w:val="24"/>
                <w:rtl w:val="0"/>
              </w:rPr>
              <w:t xml:space="preserve">3. Navarro, Rey Anderson</w:t>
            </w:r>
          </w:p>
          <w:p w:rsidR="00000000" w:rsidDel="00000000" w:rsidP="00000000" w:rsidRDefault="00000000" w:rsidRPr="00000000" w14:paraId="0000000A">
            <w:pPr>
              <w:widowControl w:val="0"/>
              <w:spacing w:line="240" w:lineRule="auto"/>
              <w:ind w:left="2295.4815673828125" w:firstLine="0"/>
              <w:rPr>
                <w:b w:val="1"/>
                <w:bCs w:val="1"/>
                <w:sz w:val="24"/>
                <w:szCs w:val="24"/>
              </w:rPr>
            </w:pPr>
            <w:r w:rsidDel="00000000" w:rsidR="00000000" w:rsidRPr="00000000">
              <w:rPr>
                <w:b w:val="1"/>
                <w:bCs w:val="1"/>
                <w:sz w:val="24"/>
                <w:szCs w:val="24"/>
                <w:rtl w:val="0"/>
              </w:rPr>
              <w:t xml:space="preserve">4. Villarias, Medy</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22.5152587890625" w:right="575.08789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Given the materials, tools and equipment, upon completion of the   activity, the student must be able to: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240234375" w:line="240" w:lineRule="auto"/>
        <w:ind w:left="1935.1008605957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Analyze the economic feasibility of the proposed project.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8.5408020019531" w:right="0" w:firstLine="0"/>
        <w:jc w:val="left"/>
        <w:rPr>
          <w:b w:val="1"/>
          <w:bCs w:val="1"/>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Develop a cost-benefit analysis. </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1142578125" w:line="240" w:lineRule="auto"/>
        <w:ind w:left="117.21603393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Accomplish the following tasks: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689208984375" w:line="240" w:lineRule="auto"/>
        <w:ind w:left="135.10086059570312"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Create an economic feasibility analysis of the proposed system. (refer to the given sample below as guide)</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keepNext w:val="0"/>
        <w:keepLines w:val="0"/>
        <w:widowControl w:val="0"/>
        <w:spacing w:line="240" w:lineRule="auto"/>
        <w:rPr>
          <w:sz w:val="24"/>
          <w:szCs w:val="24"/>
        </w:rPr>
      </w:pPr>
      <w:bookmarkStart w:colFirst="0" w:colLast="0" w:name="_e4i61xovrihj" w:id="0"/>
      <w:bookmarkEnd w:id="0"/>
      <w:r w:rsidDel="00000000" w:rsidR="00000000" w:rsidRPr="00000000">
        <w:rPr>
          <w:sz w:val="24"/>
          <w:szCs w:val="24"/>
          <w:rtl w:val="0"/>
        </w:rPr>
        <w:tab/>
      </w:r>
    </w:p>
    <w:p w:rsidR="00000000" w:rsidDel="00000000" w:rsidP="00000000" w:rsidRDefault="00000000" w14:paraId="000000c8">
      <w:pPr>
        <w:pStyle w:val="Heading2"/>
        <w:keepNext w:val="0"/>
        <w:keepLines w:val="0"/>
        <w:widowControl w:val="0"/>
        <w:spacing w:after="200" w:before="220" w:line="240" w:lineRule="auto"/>
        <w:jc w:val="center"/>
        <w:rPr>
          <w:b w:val="0"/>
          <w:bCs w:val="0"/>
          <w:color w:val="ff0000"/>
          <w:sz w:val="24"/>
          <w:szCs w:val="24"/>
        </w:rPr>
      </w:pPr>
      <w:r>
        <w:rPr>
          <w:sz w:val="24"/>
          <w:szCs w:val="24"/>
          <w:rtl w:val="0"/>
        </w:rPr>
        <w:t xml:space="preserve">Worksheet No. 5: Economic Feasibility Analysis</w:t>
      </w:r>
    </w:p>
    <w:p w:rsidR="00000000" w:rsidDel="00000000" w:rsidP="00000000" w:rsidRDefault="00000000" w14:paraId="000000c9">
      <w:pPr>
        <w:pStyle w:val="Heading2"/>
        <w:keepNext w:val="0"/>
        <w:keepLines w:val="0"/>
        <w:widowControl w:val="0"/>
        <w:spacing w:before="280" w:after="100" w:line="240" w:lineRule="auto"/>
        <w:rPr>
          <w:b w:val="1"/>
          <w:bCs w:val="1"/>
          <w:sz w:val="24"/>
          <w:szCs w:val="24"/>
        </w:rPr>
      </w:pPr>
      <w:r>
        <w:rPr>
          <w:b w:val="1"/>
          <w:bCs w:val="1"/>
          <w:sz w:val="24"/>
          <w:szCs w:val="24"/>
          <w:rtl w:val="0"/>
        </w:rPr>
        <w:t xml:space="preserve">1. Economic Feasibility Executive Summary</w:t>
      </w:r>
    </w:p>
    <w:p w:rsidR="00000000" w:rsidDel="00000000" w:rsidP="00000000" w:rsidRDefault="00000000" w14:paraId="000000ca">
      <w:pPr>
        <w:spacing w:before="60" w:after="120" w:line="276" w:lineRule="auto"/>
        <w:jc w:val="both"/>
        <w:rPr>
          <w:sz w:val="24"/>
          <w:szCs w:val="24"/>
        </w:rPr>
      </w:pPr>
      <w:r>
        <w:rPr>
          <w:sz w:val="24"/>
          <w:szCs w:val="24"/>
          <w:rtl w:val="0"/>
        </w:rPr>
        <w:t xml:space="preserve">A comprehensive cost–benefit analysis was performed for the Jayraldine's Catering Management System by the systems analysis team (Mikka Armenta, Daniel Grant Ilustrisimo, Rey Anderson Navarro, and Medy Villarias). Conservative financial forecasts show that transitioning from the manual, paper-based clear book workflow to the proposed digital catering management platform will substantially improve the business's operating margins, revenue retention, and financial performance over a three-year planning horizon.</w:t>
      </w:r>
    </w:p>
    <w:p w:rsidR="00000000" w:rsidDel="00000000" w:rsidP="00000000" w:rsidRDefault="00000000" w14:paraId="000000cb">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Return on Investment (ROI): </w:t>
      </w:r>
      <w:r>
        <w:rPr>
          <w:sz w:val="24"/>
          <w:szCs w:val="24"/>
          <w:rtl w:val="0"/>
        </w:rPr>
        <w:t xml:space="preserve">234.63% over three (3) operating years, indicating that every peso invested in the system yields approximately ₱2.35 in net financial returns.</w:t>
      </w:r>
    </w:p>
    <w:p w:rsidR="00000000" w:rsidDel="00000000" w:rsidP="00000000" w:rsidRDefault="00000000" w14:paraId="000000cc">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Net Present Value (NPV): </w:t>
      </w:r>
      <w:r>
        <w:rPr>
          <w:sz w:val="24"/>
          <w:szCs w:val="24"/>
          <w:rtl w:val="0"/>
        </w:rPr>
        <w:t xml:space="preserve">₱521,968 (evaluated at a 10% required rate of return / discount rate), confirming robust financial viability well above the benchmark threshold.</w:t>
      </w:r>
    </w:p>
    <w:p w:rsidR="00000000" w:rsidDel="00000000" w:rsidP="00000000" w:rsidRDefault="00000000" w14:paraId="000000cd">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Break-Even Point (BEP): </w:t>
      </w:r>
      <w:r>
        <w:rPr>
          <w:sz w:val="24"/>
          <w:szCs w:val="24"/>
          <w:rtl w:val="0"/>
        </w:rPr>
        <w:t xml:space="preserve">0.58 years (~7 months into operational Year 1), demonstrating rapid capital recovery through immediate cost savings and eliminated billing leakages.</w:t>
      </w:r>
    </w:p>
    <w:p w:rsidR="00000000" w:rsidDel="00000000" w:rsidP="00000000" w:rsidRDefault="00000000" w14:paraId="000000ce">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Total Cumulative Net Cash Flow: </w:t>
      </w:r>
      <w:r>
        <w:rPr>
          <w:sz w:val="24"/>
          <w:szCs w:val="24"/>
          <w:rtl w:val="0"/>
        </w:rPr>
        <w:t xml:space="preserve">₱664,000 generated over the three-year lifecycle (₱947,000 Total Tangible Benefits versus ₱283,000 Total Development and Operational Costs).</w:t>
      </w:r>
    </w:p>
    <w:p w:rsidR="00000000" w:rsidDel="00000000" w:rsidP="00000000" w:rsidRDefault="00000000" w14:paraId="000000cf">
      <w:pPr>
        <w:pStyle w:val="Heading2"/>
        <w:keepNext w:val="0"/>
        <w:keepLines w:val="0"/>
        <w:widowControl w:val="0"/>
        <w:spacing w:before="280" w:after="100" w:line="240" w:lineRule="auto"/>
        <w:rPr>
          <w:b w:val="1"/>
          <w:bCs w:val="1"/>
          <w:sz w:val="24"/>
          <w:szCs w:val="24"/>
        </w:rPr>
      </w:pPr>
      <w:r>
        <w:rPr>
          <w:b w:val="1"/>
          <w:bCs w:val="1"/>
          <w:sz w:val="24"/>
          <w:szCs w:val="24"/>
          <w:rtl w:val="0"/>
        </w:rPr>
        <w:t xml:space="preserve">2. Identification of Costs and Benefits</w:t>
      </w:r>
    </w:p>
    <w:p w:rsidR="00000000" w:rsidDel="00000000" w:rsidP="00000000" w:rsidRDefault="00000000" w14:paraId="000000d0">
      <w:pPr>
        <w:spacing w:before="180" w:after="60" w:line="240" w:lineRule="auto"/>
        <w:ind w:left="360" w:firstLine="0"/>
        <w:rPr>
          <w:b w:val="1"/>
          <w:bCs w:val="1"/>
          <w:sz w:val="24"/>
          <w:szCs w:val="24"/>
        </w:rPr>
      </w:pPr>
      <w:r>
        <w:rPr>
          <w:b w:val="1"/>
          <w:bCs w:val="1"/>
          <w:sz w:val="24"/>
          <w:szCs w:val="24"/>
          <w:rtl w:val="0"/>
        </w:rPr>
        <w:t xml:space="preserve">2.1 Development Costs (One-Time / Year 0)</w:t>
      </w:r>
    </w:p>
    <w:p w:rsidR="00000000" w:rsidDel="00000000" w:rsidP="00000000" w:rsidRDefault="00000000" w14:paraId="000000d1">
      <w:pPr>
        <w:spacing w:before="60" w:after="120" w:line="276" w:lineRule="auto"/>
        <w:jc w:val="both"/>
        <w:rPr>
          <w:sz w:val="24"/>
          <w:szCs w:val="24"/>
        </w:rPr>
      </w:pPr>
      <w:r>
        <w:rPr>
          <w:sz w:val="24"/>
          <w:szCs w:val="24"/>
          <w:rtl w:val="0"/>
        </w:rPr>
        <w:t xml:space="preserve">Development costs represent the upfront capital and labor expenditures required to analyze, design, implement, test, and deploy the system:</w:t>
      </w:r>
    </w:p>
    <w:p w:rsidR="00000000" w:rsidDel="00000000" w:rsidP="00000000" w:rsidRDefault="00000000" w14:paraId="000000d2">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Systems Analysis &amp; Requirements Engineering: </w:t>
      </w:r>
      <w:r>
        <w:rPr>
          <w:sz w:val="24"/>
          <w:szCs w:val="24"/>
          <w:rtl w:val="0"/>
        </w:rPr>
        <w:t xml:space="preserve">₱25,000 — Conducting stakeholder interviews with Danilo Gimperoso Jr., operational workflow mapping, and requirements specification (Worksheets 1 to 4).</w:t>
      </w:r>
    </w:p>
    <w:p w:rsidR="00000000" w:rsidDel="00000000" w:rsidP="00000000" w:rsidRDefault="00000000" w14:paraId="000000d3">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System Design &amp; UI/UX Prototyping: </w:t>
      </w:r>
      <w:r>
        <w:rPr>
          <w:sz w:val="24"/>
          <w:szCs w:val="24"/>
          <w:rtl w:val="0"/>
        </w:rPr>
        <w:t xml:space="preserve">₱20,000 — User interface layouts for mobile, tablet, and desktop viewports, database schema modeling, and wireframe prototyping.</w:t>
      </w:r>
    </w:p>
    <w:p w:rsidR="00000000" w:rsidDel="00000000" w:rsidP="00000000" w:rsidRDefault="00000000" w14:paraId="000000d4">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Full-Stack Implementation &amp; Development: </w:t>
      </w:r>
      <w:r>
        <w:rPr>
          <w:sz w:val="24"/>
          <w:szCs w:val="24"/>
          <w:rtl w:val="0"/>
        </w:rPr>
        <w:t xml:space="preserve">₱45,000 — Front-end and back-end programming of core modules (F1 Booking, F2 Billing, F3 Calendar, F4 Analytics, F5 Loyalty, F6 Dashboard).</w:t>
      </w:r>
    </w:p>
    <w:p w:rsidR="00000000" w:rsidDel="00000000" w:rsidP="00000000" w:rsidRDefault="00000000" w14:paraId="000000d5">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System Integration, Testing &amp; QA: </w:t>
      </w:r>
      <w:r>
        <w:rPr>
          <w:sz w:val="24"/>
          <w:szCs w:val="24"/>
          <w:rtl w:val="0"/>
        </w:rPr>
        <w:t xml:space="preserve">₱15,000 — Functional testing, security checks, booking conflict validation, and responsive mobile testing across Android/iOS devices.</w:t>
      </w:r>
    </w:p>
    <w:p w:rsidR="00000000" w:rsidDel="00000000" w:rsidP="00000000" w:rsidRDefault="00000000" w14:paraId="000000d6">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User Training &amp; Staff Onboarding: </w:t>
      </w:r>
      <w:r>
        <w:rPr>
          <w:sz w:val="24"/>
          <w:szCs w:val="24"/>
          <w:rtl w:val="0"/>
        </w:rPr>
        <w:t xml:space="preserve">₱8,000 — Hands-on training sessions for front-desk clerks, kitchen staff, and on-site logistics handlers.</w:t>
      </w:r>
    </w:p>
    <w:p w:rsidR="00000000" w:rsidDel="00000000" w:rsidP="00000000" w:rsidRDefault="00000000" w14:paraId="000000d7">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Hardware &amp; Dedicated Tablet Device: </w:t>
      </w:r>
      <w:r>
        <w:rPr>
          <w:sz w:val="24"/>
          <w:szCs w:val="24"/>
          <w:rtl w:val="0"/>
        </w:rPr>
        <w:t xml:space="preserve">₱12,000 — Acquisition of a dedicated on-site tablet for mobile kitchen prep and hauling coordination.</w:t>
      </w:r>
    </w:p>
    <w:p w:rsidR="00000000" w:rsidDel="00000000" w:rsidP="00000000" w:rsidRDefault="00000000" w14:paraId="000000d8">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Software Setup, Domain &amp; Development Tools: </w:t>
      </w:r>
      <w:r>
        <w:rPr>
          <w:sz w:val="24"/>
          <w:szCs w:val="24"/>
          <w:rtl w:val="0"/>
        </w:rPr>
        <w:t xml:space="preserve">₱5,000 — Domain registration, SSL certificate provisioning, and cloud development environment setup.</w:t>
      </w:r>
    </w:p>
    <w:p w:rsidR="00000000" w:rsidDel="00000000" w:rsidP="00000000" w:rsidRDefault="00000000" w14:paraId="000000d9">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Office Supplies &amp; Initial Clear Book Data Migration: </w:t>
      </w:r>
      <w:r>
        <w:rPr>
          <w:sz w:val="24"/>
          <w:szCs w:val="24"/>
          <w:rtl w:val="0"/>
        </w:rPr>
        <w:t xml:space="preserve">₱5,000 — Transcribing active clear book customer records, menu packages, and inventory item rates into the new digital database.</w:t>
      </w:r>
    </w:p>
    <w:p w:rsidR="00000000" w:rsidDel="00000000" w:rsidP="00000000" w:rsidRDefault="00000000" w14:paraId="000000da">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Total One-Time Development Investment: </w:t>
      </w:r>
      <w:r>
        <w:rPr>
          <w:sz w:val="24"/>
          <w:szCs w:val="24"/>
          <w:rtl w:val="0"/>
        </w:rPr>
        <w:t xml:space="preserve">₱135,000.</w:t>
      </w:r>
    </w:p>
    <w:p w:rsidR="00000000" w:rsidDel="00000000" w:rsidP="00000000" w:rsidRDefault="00000000" w14:paraId="000000db">
      <w:pPr>
        <w:spacing w:before="180" w:after="60" w:line="240" w:lineRule="auto"/>
        <w:ind w:left="360" w:firstLine="0"/>
        <w:rPr>
          <w:b w:val="1"/>
          <w:bCs w:val="1"/>
          <w:sz w:val="24"/>
          <w:szCs w:val="24"/>
        </w:rPr>
      </w:pPr>
      <w:r>
        <w:rPr>
          <w:b w:val="1"/>
          <w:bCs w:val="1"/>
          <w:sz w:val="24"/>
          <w:szCs w:val="24"/>
          <w:rtl w:val="0"/>
        </w:rPr>
        <w:t xml:space="preserve">2.2 Operational Costs (Ongoing Recurring / Years 1–3)</w:t>
      </w:r>
    </w:p>
    <w:p w:rsidR="00000000" w:rsidDel="00000000" w:rsidP="00000000" w:rsidRDefault="00000000" w14:paraId="000000dc">
      <w:pPr>
        <w:spacing w:before="60" w:after="120" w:line="276" w:lineRule="auto"/>
        <w:jc w:val="both"/>
        <w:rPr>
          <w:sz w:val="24"/>
          <w:szCs w:val="24"/>
        </w:rPr>
      </w:pPr>
      <w:r>
        <w:rPr>
          <w:sz w:val="24"/>
          <w:szCs w:val="24"/>
          <w:rtl w:val="0"/>
        </w:rPr>
        <w:t xml:space="preserve">Operational costs cover the recurring expenditures required to keep the web-based catering management system running efficiently, securely, and reliably:</w:t>
      </w:r>
    </w:p>
    <w:p w:rsidR="00000000" w:rsidDel="00000000" w:rsidP="00000000" w:rsidRDefault="00000000" w14:paraId="000000dd">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Cloud Web Hosting &amp; Server Maintenance: </w:t>
      </w:r>
      <w:r>
        <w:rPr>
          <w:sz w:val="24"/>
          <w:szCs w:val="24"/>
          <w:rtl w:val="0"/>
        </w:rPr>
        <w:t xml:space="preserve">₱12,000 (Yr 1), ₱12,600 (Yr 2), ₱13,200 (Yr 3) — Secure cloud hosting, database uptime maintenance, and automated daily off-site backups.</w:t>
      </w:r>
    </w:p>
    <w:p w:rsidR="00000000" w:rsidDel="00000000" w:rsidP="00000000" w:rsidRDefault="00000000" w14:paraId="000000de">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Domain Name &amp; SSL Security Renewal: </w:t>
      </w:r>
      <w:r>
        <w:rPr>
          <w:sz w:val="24"/>
          <w:szCs w:val="24"/>
          <w:rtl w:val="0"/>
        </w:rPr>
        <w:t xml:space="preserve">₱2,500 annually (₱7,500 total over 3 years) — Maintaining custom domain identity and HTTPS data encryption.</w:t>
      </w:r>
    </w:p>
    <w:p w:rsidR="00000000" w:rsidDel="00000000" w:rsidP="00000000" w:rsidRDefault="00000000" w14:paraId="000000df">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Software Maintenance, Bug Fixes &amp; Feature Patches: </w:t>
      </w:r>
      <w:r>
        <w:rPr>
          <w:sz w:val="24"/>
          <w:szCs w:val="24"/>
          <w:rtl w:val="0"/>
        </w:rPr>
        <w:t xml:space="preserve">₱15,000 (Yr 1), ₱16,000 (Yr 2), ₱17,000 (Yr 3) — Periodic code updates, database indexing, and bug resolution.</w:t>
      </w:r>
    </w:p>
    <w:p w:rsidR="00000000" w:rsidDel="00000000" w:rsidP="00000000" w:rsidRDefault="00000000" w14:paraId="000000e0">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Hardware Repairs &amp; Backup Allowance: </w:t>
      </w:r>
      <w:r>
        <w:rPr>
          <w:sz w:val="24"/>
          <w:szCs w:val="24"/>
          <w:rtl w:val="0"/>
        </w:rPr>
        <w:t xml:space="preserve">₱6,000 (Yr 1), ₱6,500 (Yr 2), ₱7,000 (Yr 3) — Routine maintenance and depreciation allowance for tablet/PC peripherals.</w:t>
      </w:r>
    </w:p>
    <w:p w:rsidR="00000000" w:rsidDel="00000000" w:rsidP="00000000" w:rsidRDefault="00000000" w14:paraId="000000e1">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Staff Refresher Training &amp; Documentation: </w:t>
      </w:r>
      <w:r>
        <w:rPr>
          <w:sz w:val="24"/>
          <w:szCs w:val="24"/>
          <w:rtl w:val="0"/>
        </w:rPr>
        <w:t xml:space="preserve">₱4,000 (Yr 1), ₱3,000 (Yr 2), ₱3,000 (Yr 3) — Periodic orientation for newly hired kitchen/logistics crews.</w:t>
      </w:r>
    </w:p>
    <w:p w:rsidR="00000000" w:rsidDel="00000000" w:rsidP="00000000" w:rsidRDefault="00000000" w14:paraId="000000e2">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Internet &amp; Communications Allocation: </w:t>
      </w:r>
      <w:r>
        <w:rPr>
          <w:sz w:val="24"/>
          <w:szCs w:val="24"/>
          <w:rtl w:val="0"/>
        </w:rPr>
        <w:t xml:space="preserve">₱8,000 (Yr 1), ₱8,400 (Yr 2), ₱8,800 (Yr 3) — Data connection allocation supporting live cloud synchronization.</w:t>
      </w:r>
    </w:p>
    <w:p w:rsidR="00000000" w:rsidDel="00000000" w:rsidP="00000000" w:rsidRDefault="00000000" w14:paraId="000000e3">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Total Ongoing Operational Costs: </w:t>
      </w:r>
      <w:r>
        <w:rPr>
          <w:sz w:val="24"/>
          <w:szCs w:val="24"/>
          <w:rtl w:val="0"/>
        </w:rPr>
        <w:t xml:space="preserve">₱47,500 (Yr 1), ₱49,000 (Yr 2), ₱51,500 (Yr 3) — Total 3-Year Operational Expense: ₱148,000.</w:t>
      </w:r>
    </w:p>
    <w:p w:rsidR="00000000" w:rsidDel="00000000" w:rsidP="00000000" w:rsidRDefault="00000000" w14:paraId="000000e4">
      <w:pPr>
        <w:spacing w:before="180" w:after="60" w:line="240" w:lineRule="auto"/>
        <w:ind w:left="360" w:firstLine="0"/>
        <w:rPr>
          <w:b w:val="1"/>
          <w:bCs w:val="1"/>
          <w:sz w:val="24"/>
          <w:szCs w:val="24"/>
        </w:rPr>
      </w:pPr>
      <w:r>
        <w:rPr>
          <w:b w:val="1"/>
          <w:bCs w:val="1"/>
          <w:sz w:val="24"/>
          <w:szCs w:val="24"/>
          <w:rtl w:val="0"/>
        </w:rPr>
        <w:t xml:space="preserve">2.3 Tangible Benefits (Direct Financial Gains / Years 1–3)</w:t>
      </w:r>
    </w:p>
    <w:p w:rsidR="00000000" w:rsidDel="00000000" w:rsidP="00000000" w:rsidRDefault="00000000" w14:paraId="000000e5">
      <w:pPr>
        <w:spacing w:before="60" w:after="120" w:line="276" w:lineRule="auto"/>
        <w:jc w:val="both"/>
        <w:rPr>
          <w:sz w:val="24"/>
          <w:szCs w:val="24"/>
        </w:rPr>
      </w:pPr>
      <w:r>
        <w:rPr>
          <w:sz w:val="24"/>
          <w:szCs w:val="24"/>
          <w:rtl w:val="0"/>
        </w:rPr>
        <w:t xml:space="preserve">Tangible benefits are quantifiable monetary earnings and cost reductions directly enabled by the new system (mapped to V-1, V-2, V-3 and G-1 through G-6):</w:t>
      </w:r>
    </w:p>
    <w:p w:rsidR="00000000" w:rsidDel="00000000" w:rsidP="00000000" w:rsidRDefault="00000000" w14:paraId="000000e6">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Increased Sales from Higher Booking Capacity &amp; Throughput (Addresses G-4, G-6 | Enabled by F1, F3): </w:t>
      </w:r>
      <w:r>
        <w:rPr>
          <w:sz w:val="24"/>
          <w:szCs w:val="24"/>
          <w:rtl w:val="0"/>
        </w:rPr>
        <w:t xml:space="preserve">₱180,000 (Yr 1), ₱205,000 (Yr 2), ₱230,000 (Yr 3) — Real-time scheduling calendar and automated conflict checking eliminate double-booking risks and speed up customer inquiry responses, allowing Jayraldine's to accommodate 1 to 2 additional events per month.</w:t>
      </w:r>
    </w:p>
    <w:p w:rsidR="00000000" w:rsidDel="00000000" w:rsidP="00000000" w:rsidRDefault="00000000" w14:paraId="000000e7">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Higher Revenue Retention &amp; Billing Accuracy (Addresses G-1, G-5 | Enabled by F2, F4): </w:t>
      </w:r>
      <w:r>
        <w:rPr>
          <w:sz w:val="24"/>
          <w:szCs w:val="24"/>
          <w:rtl w:val="0"/>
        </w:rPr>
        <w:t xml:space="preserve">₱65,000 (Yr 1), ₱72,000 (Yr 2), ₱80,000 (Yr 3) — Automated cost calculation ensures all customized add-ons (Tiffany chairs, themed backdrops, sound systems) are accurately billed and prevents revenue loss from uncollected final balances.</w:t>
      </w:r>
    </w:p>
    <w:p w:rsidR="00000000" w:rsidDel="00000000" w:rsidP="00000000" w:rsidRDefault="00000000" w14:paraId="000000e8">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Administrative &amp; Material Cost Savings (Addresses G-2, G-3 | Enabled by F1, F2): </w:t>
      </w:r>
      <w:r>
        <w:rPr>
          <w:sz w:val="24"/>
          <w:szCs w:val="24"/>
          <w:rtl w:val="0"/>
        </w:rPr>
        <w:t xml:space="preserve">₱35,000 (Yr 1), ₱38,000 (Yr 2), ₱42,000 (Yr 3) — Elimination of physical clear books, plastic sleeves, paper booking forms, manual contract drafting, and administrative staff overtime spent on manual filing.</w:t>
      </w:r>
    </w:p>
    <w:p w:rsidR="00000000" w:rsidDel="00000000" w:rsidP="00000000" w:rsidRDefault="00000000" w14:paraId="000000e9">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Total Tangible Benefits: </w:t>
      </w:r>
      <w:r>
        <w:rPr>
          <w:sz w:val="24"/>
          <w:szCs w:val="24"/>
          <w:rtl w:val="0"/>
        </w:rPr>
        <w:t xml:space="preserve">₱280,000 (Yr 1), ₱315,000 (Yr 2), ₱352,000 (Yr 3) — Total 3-Year Tangible Benefits: ₱947,000.</w:t>
      </w:r>
    </w:p>
    <w:p w:rsidR="00000000" w:rsidDel="00000000" w:rsidP="00000000" w:rsidRDefault="00000000" w14:paraId="000000ea">
      <w:pPr>
        <w:spacing w:before="180" w:after="60" w:line="240" w:lineRule="auto"/>
        <w:ind w:left="360" w:firstLine="0"/>
        <w:rPr>
          <w:b w:val="1"/>
          <w:bCs w:val="1"/>
          <w:sz w:val="24"/>
          <w:szCs w:val="24"/>
        </w:rPr>
      </w:pPr>
      <w:r>
        <w:rPr>
          <w:b w:val="1"/>
          <w:bCs w:val="1"/>
          <w:sz w:val="24"/>
          <w:szCs w:val="24"/>
          <w:rtl w:val="0"/>
        </w:rPr>
        <w:t xml:space="preserve">2.4 Intangible Benefits (Qualitative Strategic Value)</w:t>
      </w:r>
    </w:p>
    <w:p w:rsidR="00000000" w:rsidDel="00000000" w:rsidP="00000000" w:rsidRDefault="00000000" w14:paraId="000000eb">
      <w:pPr>
        <w:spacing w:before="60" w:after="120" w:line="276" w:lineRule="auto"/>
        <w:jc w:val="both"/>
        <w:rPr>
          <w:sz w:val="24"/>
          <w:szCs w:val="24"/>
        </w:rPr>
      </w:pPr>
      <w:r>
        <w:rPr>
          <w:sz w:val="24"/>
          <w:szCs w:val="24"/>
          <w:rtl w:val="0"/>
        </w:rPr>
        <w:t xml:space="preserve">Intangible benefits provide strategic, qualitative enhancements that significantly reinforce market competitiveness and brand equity (mapped to V-4, V-5, V-6):</w:t>
      </w:r>
    </w:p>
    <w:p w:rsidR="00000000" w:rsidDel="00000000" w:rsidP="00000000" w:rsidRDefault="00000000" w14:paraId="000000ec">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Enhanced Customer Trust &amp; Brand Prestige (V-4): </w:t>
      </w:r>
      <w:r>
        <w:rPr>
          <w:sz w:val="24"/>
          <w:szCs w:val="24"/>
          <w:rtl w:val="0"/>
        </w:rPr>
        <w:t xml:space="preserve">Issuing professional itemized digital quotes and billing receipts increases client confidence and elevates business reputation in Metro Cebu.</w:t>
      </w:r>
    </w:p>
    <w:p w:rsidR="00000000" w:rsidDel="00000000" w:rsidP="00000000" w:rsidRDefault="00000000" w14:paraId="000000ed">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Operational Peace of Mind &amp; Disaster Recovery (V-5): </w:t>
      </w:r>
      <w:r>
        <w:rPr>
          <w:sz w:val="24"/>
          <w:szCs w:val="24"/>
          <w:rtl w:val="0"/>
        </w:rPr>
        <w:t xml:space="preserve">Eliminates anxiety over physical binder destruction, water spills, or lost booking forms through automated cloud database backups.</w:t>
      </w:r>
    </w:p>
    <w:p w:rsidR="00000000" w:rsidDel="00000000" w:rsidP="00000000" w:rsidRDefault="00000000" w14:paraId="000000ee">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Inter-Team Coordination &amp; Real-Time Visibility (V-5, G-6): </w:t>
      </w:r>
      <w:r>
        <w:rPr>
          <w:sz w:val="24"/>
          <w:szCs w:val="24"/>
          <w:rtl w:val="0"/>
        </w:rPr>
        <w:t xml:space="preserve">Synchronized access between office clerks, kitchen chefs, and on-site hauling crews eliminates miscommunication during hectic event days.</w:t>
      </w:r>
    </w:p>
    <w:p w:rsidR="00000000" w:rsidDel="00000000" w:rsidP="00000000" w:rsidRDefault="00000000" w14:paraId="000000ef">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Data-Driven Strategic Business Decisions (V-6): </w:t>
      </w:r>
      <w:r>
        <w:rPr>
          <w:sz w:val="24"/>
          <w:szCs w:val="24"/>
          <w:rtl w:val="0"/>
        </w:rPr>
        <w:t xml:space="preserve">Real-time visibility into top-selling package tiers, revenue trends, and peak season analytics allows the owner to optimize pricing and inventory investments.</w:t>
      </w:r>
    </w:p>
    <w:p w:rsidR="00000000" w:rsidDel="00000000" w:rsidP="00000000" w:rsidRDefault="00000000" w14:paraId="000000f0">
      <w:pPr>
        <w:pStyle w:val="Heading2"/>
        <w:keepNext w:val="0"/>
        <w:keepLines w:val="0"/>
        <w:widowControl w:val="0"/>
        <w:spacing w:before="280" w:after="100" w:line="240" w:lineRule="auto"/>
        <w:rPr>
          <w:b w:val="1"/>
          <w:bCs w:val="1"/>
          <w:sz w:val="24"/>
          <w:szCs w:val="24"/>
        </w:rPr>
      </w:pPr>
      <w:r>
        <w:rPr>
          <w:b w:val="1"/>
          <w:bCs w:val="1"/>
          <w:sz w:val="24"/>
          <w:szCs w:val="24"/>
          <w:rtl w:val="0"/>
        </w:rPr>
        <w:t xml:space="preserve">3. Cost-Benefit Analysis Spreadsheet</w:t>
      </w:r>
    </w:p>
    <w:p w:rsidR="00000000" w:rsidDel="00000000" w:rsidP="00000000" w:rsidRDefault="00000000" w14:paraId="000000f1">
      <w:pPr>
        <w:spacing w:before="60" w:after="120" w:line="276" w:lineRule="auto"/>
        <w:jc w:val="both"/>
        <w:rPr>
          <w:sz w:val="24"/>
          <w:szCs w:val="24"/>
        </w:rPr>
      </w:pPr>
      <w:r>
        <w:rPr>
          <w:sz w:val="24"/>
          <w:szCs w:val="24"/>
          <w:rtl w:val="0"/>
        </w:rPr>
        <w:t xml:space="preserve">The table below presents the formal three-year cash flow forecast, discounted present value calculations (at a 10% required rate of return), and summary metrics following the standard Dennis, Wixom &amp; Roth feasibility framework:</w:t>
      </w:r>
    </w:p>
    <w:tbl>
      <w:tblPr>
        <w:tblW w:w="9400" w:type="dxa"/>
        <w:jc w:val="center"/>
        <w:tblBorders>
          <w:top w:color="0070C0" w:space="0" w:sz="8" w:val="single"/>
          <w:left w:color="D9D9D9" w:space="0" w:sz="4" w:val="single"/>
          <w:bottom w:color="0070C0" w:space="0" w:sz="8" w:val="single"/>
          <w:right w:color="D9D9D9" w:space="0" w:sz="4" w:val="single"/>
          <w:insideH w:color="E8E8E8" w:space="0" w:sz="4" w:val="single"/>
          <w:insideV w:color="E8E8E8" w:space="0" w:sz="4" w:val="single"/>
        </w:tblBorders>
        <w:tblLayout w:type="fixed"/>
      </w:tblPr>
      <w:tblGrid>
        <w:gridCol w:w="3100"/>
        <w:gridCol w:w="1260"/>
        <w:gridCol w:w="1260"/>
        <w:gridCol w:w="1260"/>
        <w:gridCol w:w="1260"/>
        <w:gridCol w:w="1260"/>
      </w:tblGrid>
      <w:tr>
        <w:trPr>
          <w:tblHeader w:val="1"/>
          <w:trHeight w:val="420" w:hRule="atLeast"/>
        </w:trPr>
        <w:tc>
          <w:tcPr>
            <w:tcW w:w="3100" w:type="dxa"/>
            <w:shd w:fill="0070C0" w:val="clear"/>
            <w:tcMar>
              <w:top w:w="120" w:type="dxa"/>
              <w:left w:w="120" w:type="dxa"/>
              <w:bottom w:w="120" w:type="dxa"/>
              <w:right w:w="120" w:type="dxa"/>
            </w:tcMar>
            <w:vAlign w:val="center"/>
          </w:tcPr>
          <w:p>
            <w:pPr>
              <w:jc w:val="left"/>
              <w:spacing w:before="60" w:after="60"/>
              <w:rPr>
                <w:rFonts w:ascii="Arial" w:hAnsi="Arial"/>
                <w:b w:val="1"/>
                <w:bCs w:val="1"/>
                <w:color w:val="FFFFFF"/>
                <w:sz w:val="20"/>
                <w:szCs w:val="20"/>
              </w:rPr>
            </w:pPr>
            <w:r>
              <w:rPr>
                <w:rFonts w:ascii="Arial" w:hAnsi="Arial"/>
                <w:b w:val="1"/>
                <w:bCs w:val="1"/>
                <w:color w:val="FFFFFF"/>
                <w:sz w:val="20"/>
                <w:szCs w:val="20"/>
              </w:rPr>
              <w:t xml:space="preserve">Financial Category / Line Item</w:t>
            </w:r>
          </w:p>
        </w:tc>
        <w:tc>
          <w:tcPr>
            <w:tcW w:w="1260" w:type="dxa"/>
            <w:shd w:fill="0070C0" w:val="clear"/>
            <w:tcMar>
              <w:top w:w="120" w:type="dxa"/>
              <w:left w:w="120" w:type="dxa"/>
              <w:bottom w:w="120" w:type="dxa"/>
              <w:right w:w="120" w:type="dxa"/>
            </w:tcMar>
            <w:vAlign w:val="center"/>
          </w:tcPr>
          <w:p>
            <w:pPr>
              <w:jc w:val="right"/>
              <w:spacing w:before="60" w:after="60"/>
              <w:rPr>
                <w:rFonts w:ascii="Arial" w:hAnsi="Arial"/>
                <w:b w:val="1"/>
                <w:bCs w:val="1"/>
                <w:color w:val="FFFFFF"/>
                <w:sz w:val="20"/>
                <w:szCs w:val="20"/>
              </w:rPr>
            </w:pPr>
            <w:r>
              <w:rPr>
                <w:rFonts w:ascii="Arial" w:hAnsi="Arial"/>
                <w:b w:val="1"/>
                <w:bCs w:val="1"/>
                <w:color w:val="FFFFFF"/>
                <w:sz w:val="20"/>
                <w:szCs w:val="20"/>
              </w:rPr>
              <w:t xml:space="preserve">2026 (Yr 0)</w:t>
            </w:r>
          </w:p>
        </w:tc>
        <w:tc>
          <w:tcPr>
            <w:tcW w:w="1260" w:type="dxa"/>
            <w:shd w:fill="0070C0" w:val="clear"/>
            <w:tcMar>
              <w:top w:w="120" w:type="dxa"/>
              <w:left w:w="120" w:type="dxa"/>
              <w:bottom w:w="120" w:type="dxa"/>
              <w:right w:w="120" w:type="dxa"/>
            </w:tcMar>
            <w:vAlign w:val="center"/>
          </w:tcPr>
          <w:p>
            <w:pPr>
              <w:jc w:val="right"/>
              <w:spacing w:before="60" w:after="60"/>
              <w:rPr>
                <w:rFonts w:ascii="Arial" w:hAnsi="Arial"/>
                <w:b w:val="1"/>
                <w:bCs w:val="1"/>
                <w:color w:val="FFFFFF"/>
                <w:sz w:val="20"/>
                <w:szCs w:val="20"/>
              </w:rPr>
            </w:pPr>
            <w:r>
              <w:rPr>
                <w:rFonts w:ascii="Arial" w:hAnsi="Arial"/>
                <w:b w:val="1"/>
                <w:bCs w:val="1"/>
                <w:color w:val="FFFFFF"/>
                <w:sz w:val="20"/>
                <w:szCs w:val="20"/>
              </w:rPr>
              <w:t xml:space="preserve">2027 (Yr 1)</w:t>
            </w:r>
          </w:p>
        </w:tc>
        <w:tc>
          <w:tcPr>
            <w:tcW w:w="1260" w:type="dxa"/>
            <w:shd w:fill="0070C0" w:val="clear"/>
            <w:tcMar>
              <w:top w:w="120" w:type="dxa"/>
              <w:left w:w="120" w:type="dxa"/>
              <w:bottom w:w="120" w:type="dxa"/>
              <w:right w:w="120" w:type="dxa"/>
            </w:tcMar>
            <w:vAlign w:val="center"/>
          </w:tcPr>
          <w:p>
            <w:pPr>
              <w:jc w:val="right"/>
              <w:spacing w:before="60" w:after="60"/>
              <w:rPr>
                <w:rFonts w:ascii="Arial" w:hAnsi="Arial"/>
                <w:b w:val="1"/>
                <w:bCs w:val="1"/>
                <w:color w:val="FFFFFF"/>
                <w:sz w:val="20"/>
                <w:szCs w:val="20"/>
              </w:rPr>
            </w:pPr>
            <w:r>
              <w:rPr>
                <w:rFonts w:ascii="Arial" w:hAnsi="Arial"/>
                <w:b w:val="1"/>
                <w:bCs w:val="1"/>
                <w:color w:val="FFFFFF"/>
                <w:sz w:val="20"/>
                <w:szCs w:val="20"/>
              </w:rPr>
              <w:t xml:space="preserve">2028 (Yr 2)</w:t>
            </w:r>
          </w:p>
        </w:tc>
        <w:tc>
          <w:tcPr>
            <w:tcW w:w="1260" w:type="dxa"/>
            <w:shd w:fill="0070C0" w:val="clear"/>
            <w:tcMar>
              <w:top w:w="120" w:type="dxa"/>
              <w:left w:w="120" w:type="dxa"/>
              <w:bottom w:w="120" w:type="dxa"/>
              <w:right w:w="120" w:type="dxa"/>
            </w:tcMar>
            <w:vAlign w:val="center"/>
          </w:tcPr>
          <w:p>
            <w:pPr>
              <w:jc w:val="right"/>
              <w:spacing w:before="60" w:after="60"/>
              <w:rPr>
                <w:rFonts w:ascii="Arial" w:hAnsi="Arial"/>
                <w:b w:val="1"/>
                <w:bCs w:val="1"/>
                <w:color w:val="FFFFFF"/>
                <w:sz w:val="20"/>
                <w:szCs w:val="20"/>
              </w:rPr>
            </w:pPr>
            <w:r>
              <w:rPr>
                <w:rFonts w:ascii="Arial" w:hAnsi="Arial"/>
                <w:b w:val="1"/>
                <w:bCs w:val="1"/>
                <w:color w:val="FFFFFF"/>
                <w:sz w:val="20"/>
                <w:szCs w:val="20"/>
              </w:rPr>
              <w:t xml:space="preserve">2029 (Yr 3)</w:t>
            </w:r>
          </w:p>
        </w:tc>
        <w:tc>
          <w:tcPr>
            <w:tcW w:w="1260" w:type="dxa"/>
            <w:shd w:fill="0070C0" w:val="clear"/>
            <w:tcMar>
              <w:top w:w="120" w:type="dxa"/>
              <w:left w:w="120" w:type="dxa"/>
              <w:bottom w:w="120" w:type="dxa"/>
              <w:right w:w="120" w:type="dxa"/>
            </w:tcMar>
            <w:vAlign w:val="center"/>
          </w:tcPr>
          <w:p>
            <w:pPr>
              <w:jc w:val="right"/>
              <w:spacing w:before="60" w:after="60"/>
              <w:rPr>
                <w:rFonts w:ascii="Arial" w:hAnsi="Arial"/>
                <w:b w:val="1"/>
                <w:bCs w:val="1"/>
                <w:color w:val="FFFFFF"/>
                <w:sz w:val="20"/>
                <w:szCs w:val="20"/>
              </w:rPr>
            </w:pPr>
            <w:r>
              <w:rPr>
                <w:rFonts w:ascii="Arial" w:hAnsi="Arial"/>
                <w:b w:val="1"/>
                <w:bCs w:val="1"/>
                <w:color w:val="FFFFFF"/>
                <w:sz w:val="20"/>
                <w:szCs w:val="20"/>
              </w:rPr>
              <w:t xml:space="preserve">Total (₱)</w:t>
            </w:r>
          </w:p>
        </w:tc>
      </w:tr>
      <w:tr>
        <w:trPr>
          <w:cantSplit w:val="1"/>
          <w:trHeight w:val="320" w:hRule="atLeast"/>
        </w:trPr>
        <w:tc>
          <w:tcPr>
            <w:tcW w:w="3100" w:type="dxa"/>
            <w:shd w:fill="E8F1FA" w:val="clear"/>
            <w:tcMar>
              <w:top w:w="80" w:type="dxa"/>
              <w:left w:w="100" w:type="dxa"/>
              <w:bottom w:w="80" w:type="dxa"/>
              <w:right w:w="100" w:type="dxa"/>
            </w:tcMar>
            <w:vAlign w:val="center"/>
          </w:tcPr>
          <w:p>
            <w:pPr>
              <w:jc w:val="left"/>
              <w:spacing w:before="30" w:after="30" w:line="220" w:lineRule="auto"/>
              <w:ind/>
              <w:rPr>
                <w:rFonts w:ascii="Arial" w:hAnsi="Arial"/>
                <w:b w:val="1"/>
                <w:bCs w:val="1"/>
                <w:sz w:val="19"/>
                <w:szCs w:val="19"/>
              </w:rPr>
            </w:pPr>
            <w:r>
              <w:rPr>
                <w:rFonts w:ascii="Arial" w:hAnsi="Arial"/>
                <w:b w:val="1"/>
                <w:bCs w:val="1"/>
                <w:sz w:val="19"/>
                <w:szCs w:val="19"/>
              </w:rPr>
              <w:t xml:space="preserve">Benefits</w:t>
            </w:r>
          </w:p>
        </w:tc>
        <w:tc>
          <w:tcPr>
            <w:tcW w:w="1260" w:type="dxa"/>
            <w:shd w:fill="E8F1FA"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
            </w:r>
          </w:p>
        </w:tc>
        <w:tc>
          <w:tcPr>
            <w:tcW w:w="1260" w:type="dxa"/>
            <w:shd w:fill="E8F1FA"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
            </w:r>
          </w:p>
        </w:tc>
        <w:tc>
          <w:tcPr>
            <w:tcW w:w="1260" w:type="dxa"/>
            <w:shd w:fill="E8F1FA"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
            </w:r>
          </w:p>
        </w:tc>
        <w:tc>
          <w:tcPr>
            <w:tcW w:w="1260" w:type="dxa"/>
            <w:shd w:fill="E8F1FA"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
            </w:r>
          </w:p>
        </w:tc>
        <w:tc>
          <w:tcPr>
            <w:tcW w:w="1260" w:type="dxa"/>
            <w:shd w:fill="E8F1FA"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
            </w:r>
          </w:p>
        </w:tc>
      </w:tr>
      <w:tr>
        <w:trPr>
          <w:cantSplit w:val="1"/>
          <w:trHeight w:val="320" w:hRule="atLeast"/>
        </w:trPr>
        <w:tc>
          <w:tcPr>
            <w:tcW w:w="3100" w:type="dxa"/>
            <w:shd w:fill="FFFFFF" w:val="clear"/>
            <w:tcMar>
              <w:top w:w="80" w:type="dxa"/>
              <w:left w:w="100" w:type="dxa"/>
              <w:bottom w:w="80" w:type="dxa"/>
              <w:right w:w="100" w:type="dxa"/>
            </w:tcMar>
            <w:vAlign w:val="center"/>
          </w:tcPr>
          <w:p>
            <w:pPr>
              <w:jc w:val="left"/>
              <w:spacing w:before="30" w:after="30" w:line="220" w:lineRule="auto"/>
              <w:ind w:left="240"/>
              <w:rPr>
                <w:rFonts w:ascii="Arial" w:hAnsi="Arial"/>
                <w:sz w:val="19"/>
                <w:szCs w:val="19"/>
              </w:rPr>
            </w:pPr>
            <w:r>
              <w:rPr>
                <w:rFonts w:ascii="Arial" w:hAnsi="Arial"/>
                <w:sz w:val="19"/>
                <w:szCs w:val="19"/>
              </w:rPr>
              <w:t xml:space="preserve">Increased Sales from Higher Booking Capacity</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180,000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205,000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230,000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615,000</w:t>
            </w:r>
          </w:p>
        </w:tc>
      </w:tr>
      <w:tr>
        <w:trPr>
          <w:cantSplit w:val="1"/>
          <w:trHeight w:val="320" w:hRule="atLeast"/>
        </w:trPr>
        <w:tc>
          <w:tcPr>
            <w:tcW w:w="3100" w:type="dxa"/>
            <w:shd w:fill="FFFFFF" w:val="clear"/>
            <w:tcMar>
              <w:top w:w="80" w:type="dxa"/>
              <w:left w:w="100" w:type="dxa"/>
              <w:bottom w:w="80" w:type="dxa"/>
              <w:right w:w="100" w:type="dxa"/>
            </w:tcMar>
            <w:vAlign w:val="center"/>
          </w:tcPr>
          <w:p>
            <w:pPr>
              <w:jc w:val="left"/>
              <w:spacing w:before="30" w:after="30" w:line="220" w:lineRule="auto"/>
              <w:ind w:left="240"/>
              <w:rPr>
                <w:rFonts w:ascii="Arial" w:hAnsi="Arial"/>
                <w:sz w:val="19"/>
                <w:szCs w:val="19"/>
              </w:rPr>
            </w:pPr>
            <w:r>
              <w:rPr>
                <w:rFonts w:ascii="Arial" w:hAnsi="Arial"/>
                <w:sz w:val="19"/>
                <w:szCs w:val="19"/>
              </w:rPr>
              <w:t xml:space="preserve">Higher Revenue Retention &amp; Billing Accuracy</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65,000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72,000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80,000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217,000</w:t>
            </w:r>
          </w:p>
        </w:tc>
      </w:tr>
      <w:tr>
        <w:trPr>
          <w:cantSplit w:val="1"/>
          <w:trHeight w:val="320" w:hRule="atLeast"/>
        </w:trPr>
        <w:tc>
          <w:tcPr>
            <w:tcW w:w="3100" w:type="dxa"/>
            <w:shd w:fill="FFFFFF" w:val="clear"/>
            <w:tcMar>
              <w:top w:w="80" w:type="dxa"/>
              <w:left w:w="100" w:type="dxa"/>
              <w:bottom w:w="80" w:type="dxa"/>
              <w:right w:w="100" w:type="dxa"/>
            </w:tcMar>
            <w:vAlign w:val="center"/>
          </w:tcPr>
          <w:p>
            <w:pPr>
              <w:jc w:val="left"/>
              <w:spacing w:before="30" w:after="30" w:line="220" w:lineRule="auto"/>
              <w:ind w:left="240"/>
              <w:rPr>
                <w:rFonts w:ascii="Arial" w:hAnsi="Arial"/>
                <w:sz w:val="19"/>
                <w:szCs w:val="19"/>
              </w:rPr>
            </w:pPr>
            <w:r>
              <w:rPr>
                <w:rFonts w:ascii="Arial" w:hAnsi="Arial"/>
                <w:sz w:val="19"/>
                <w:szCs w:val="19"/>
              </w:rPr>
              <w:t xml:space="preserve">Reduced Administrative &amp; Material Costs</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35,000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38,000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42,000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115,000</w:t>
            </w:r>
          </w:p>
        </w:tc>
      </w:tr>
      <w:tr>
        <w:trPr>
          <w:cantSplit w:val="1"/>
          <w:trHeight w:val="320" w:hRule="atLeast"/>
        </w:trPr>
        <w:tc>
          <w:tcPr>
            <w:tcW w:w="3100" w:type="dxa"/>
            <w:shd w:fill="F2F2F2" w:val="clear"/>
            <w:tcMar>
              <w:top w:w="80" w:type="dxa"/>
              <w:left w:w="100" w:type="dxa"/>
              <w:bottom w:w="80" w:type="dxa"/>
              <w:right w:w="100" w:type="dxa"/>
            </w:tcMar>
            <w:vAlign w:val="center"/>
          </w:tcPr>
          <w:p>
            <w:pPr>
              <w:jc w:val="left"/>
              <w:spacing w:before="30" w:after="30" w:line="220" w:lineRule="auto"/>
              <w:ind/>
              <w:rPr>
                <w:rFonts w:ascii="Arial" w:hAnsi="Arial"/>
                <w:b w:val="1"/>
                <w:bCs w:val="1"/>
                <w:sz w:val="19"/>
                <w:szCs w:val="19"/>
              </w:rPr>
            </w:pPr>
            <w:r>
              <w:rPr>
                <w:rFonts w:ascii="Arial" w:hAnsi="Arial"/>
                <w:b w:val="1"/>
                <w:bCs w:val="1"/>
                <w:sz w:val="19"/>
                <w:szCs w:val="19"/>
              </w:rPr>
              <w:t xml:space="preserve">Total Benefits</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0</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280,000</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315,000</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352,000</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947,000</w:t>
            </w:r>
          </w:p>
        </w:tc>
      </w:tr>
      <w:tr>
        <w:trPr>
          <w:cantSplit w:val="1"/>
          <w:trHeight w:val="320" w:hRule="atLeast"/>
        </w:trPr>
        <w:tc>
          <w:tcPr>
            <w:tcW w:w="3100" w:type="dxa"/>
            <w:shd w:fill="F2F2F2" w:val="clear"/>
            <w:tcMar>
              <w:top w:w="80" w:type="dxa"/>
              <w:left w:w="100" w:type="dxa"/>
              <w:bottom w:w="80" w:type="dxa"/>
              <w:right w:w="100" w:type="dxa"/>
            </w:tcMar>
            <w:vAlign w:val="center"/>
          </w:tcPr>
          <w:p>
            <w:pPr>
              <w:jc w:val="left"/>
              <w:spacing w:before="30" w:after="30" w:line="220" w:lineRule="auto"/>
              <w:ind/>
              <w:rPr>
                <w:rFonts w:ascii="Arial" w:hAnsi="Arial"/>
                <w:b w:val="1"/>
                <w:bCs w:val="1"/>
                <w:sz w:val="19"/>
                <w:szCs w:val="19"/>
              </w:rPr>
            </w:pPr>
            <w:r>
              <w:rPr>
                <w:rFonts w:ascii="Arial" w:hAnsi="Arial"/>
                <w:b w:val="1"/>
                <w:bCs w:val="1"/>
                <w:sz w:val="19"/>
                <w:szCs w:val="19"/>
              </w:rPr>
              <w:t xml:space="preserve">Present Value of Total Benefits (10%)</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0</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254,545</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260,331</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264,463</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779,339</w:t>
            </w:r>
          </w:p>
        </w:tc>
      </w:tr>
      <w:tr>
        <w:trPr>
          <w:cantSplit w:val="1"/>
          <w:trHeight w:val="320" w:hRule="atLeast"/>
        </w:trPr>
        <w:tc>
          <w:tcPr>
            <w:tcW w:w="3100" w:type="dxa"/>
            <w:shd w:fill="E8F1FA" w:val="clear"/>
            <w:tcMar>
              <w:top w:w="80" w:type="dxa"/>
              <w:left w:w="100" w:type="dxa"/>
              <w:bottom w:w="80" w:type="dxa"/>
              <w:right w:w="100" w:type="dxa"/>
            </w:tcMar>
            <w:vAlign w:val="center"/>
          </w:tcPr>
          <w:p>
            <w:pPr>
              <w:jc w:val="left"/>
              <w:spacing w:before="30" w:after="30" w:line="220" w:lineRule="auto"/>
              <w:ind/>
              <w:rPr>
                <w:rFonts w:ascii="Arial" w:hAnsi="Arial"/>
                <w:b w:val="1"/>
                <w:bCs w:val="1"/>
                <w:sz w:val="19"/>
                <w:szCs w:val="19"/>
              </w:rPr>
            </w:pPr>
            <w:r>
              <w:rPr>
                <w:rFonts w:ascii="Arial" w:hAnsi="Arial"/>
                <w:b w:val="1"/>
                <w:bCs w:val="1"/>
                <w:sz w:val="19"/>
                <w:szCs w:val="19"/>
              </w:rPr>
              <w:t xml:space="preserve">Development Costs (One-Time)</w:t>
            </w:r>
          </w:p>
        </w:tc>
        <w:tc>
          <w:tcPr>
            <w:tcW w:w="1260" w:type="dxa"/>
            <w:shd w:fill="E8F1FA"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
            </w:r>
          </w:p>
        </w:tc>
        <w:tc>
          <w:tcPr>
            <w:tcW w:w="1260" w:type="dxa"/>
            <w:shd w:fill="E8F1FA"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
            </w:r>
          </w:p>
        </w:tc>
        <w:tc>
          <w:tcPr>
            <w:tcW w:w="1260" w:type="dxa"/>
            <w:shd w:fill="E8F1FA"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
            </w:r>
          </w:p>
        </w:tc>
        <w:tc>
          <w:tcPr>
            <w:tcW w:w="1260" w:type="dxa"/>
            <w:shd w:fill="E8F1FA"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
            </w:r>
          </w:p>
        </w:tc>
        <w:tc>
          <w:tcPr>
            <w:tcW w:w="1260" w:type="dxa"/>
            <w:shd w:fill="E8F1FA"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
            </w:r>
          </w:p>
        </w:tc>
      </w:tr>
      <w:tr>
        <w:trPr>
          <w:cantSplit w:val="1"/>
          <w:trHeight w:val="320" w:hRule="atLeast"/>
        </w:trPr>
        <w:tc>
          <w:tcPr>
            <w:tcW w:w="3100" w:type="dxa"/>
            <w:shd w:fill="FFFFFF" w:val="clear"/>
            <w:tcMar>
              <w:top w:w="80" w:type="dxa"/>
              <w:left w:w="100" w:type="dxa"/>
              <w:bottom w:w="80" w:type="dxa"/>
              <w:right w:w="100" w:type="dxa"/>
            </w:tcMar>
            <w:vAlign w:val="center"/>
          </w:tcPr>
          <w:p>
            <w:pPr>
              <w:jc w:val="left"/>
              <w:spacing w:before="30" w:after="30" w:line="220" w:lineRule="auto"/>
              <w:ind w:left="240"/>
              <w:rPr>
                <w:rFonts w:ascii="Arial" w:hAnsi="Arial"/>
                <w:sz w:val="19"/>
                <w:szCs w:val="19"/>
              </w:rPr>
            </w:pPr>
            <w:r>
              <w:rPr>
                <w:rFonts w:ascii="Arial" w:hAnsi="Arial"/>
                <w:sz w:val="19"/>
                <w:szCs w:val="19"/>
              </w:rPr>
              <w:t xml:space="preserve">Labor: Systems Analysis &amp; Requirements</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25,000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25,000</w:t>
            </w:r>
          </w:p>
        </w:tc>
      </w:tr>
      <w:tr>
        <w:trPr>
          <w:cantSplit w:val="1"/>
          <w:trHeight w:val="320" w:hRule="atLeast"/>
        </w:trPr>
        <w:tc>
          <w:tcPr>
            <w:tcW w:w="3100" w:type="dxa"/>
            <w:shd w:fill="FFFFFF" w:val="clear"/>
            <w:tcMar>
              <w:top w:w="80" w:type="dxa"/>
              <w:left w:w="100" w:type="dxa"/>
              <w:bottom w:w="80" w:type="dxa"/>
              <w:right w:w="100" w:type="dxa"/>
            </w:tcMar>
            <w:vAlign w:val="center"/>
          </w:tcPr>
          <w:p>
            <w:pPr>
              <w:jc w:val="left"/>
              <w:spacing w:before="30" w:after="30" w:line="220" w:lineRule="auto"/>
              <w:ind w:left="240"/>
              <w:rPr>
                <w:rFonts w:ascii="Arial" w:hAnsi="Arial"/>
                <w:sz w:val="19"/>
                <w:szCs w:val="19"/>
              </w:rPr>
            </w:pPr>
            <w:r>
              <w:rPr>
                <w:rFonts w:ascii="Arial" w:hAnsi="Arial"/>
                <w:sz w:val="19"/>
                <w:szCs w:val="19"/>
              </w:rPr>
              <w:t xml:space="preserve">Labor: UI/UX Design &amp; Prototyping</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20,000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20,000</w:t>
            </w:r>
          </w:p>
        </w:tc>
      </w:tr>
      <w:tr>
        <w:trPr>
          <w:cantSplit w:val="1"/>
          <w:trHeight w:val="320" w:hRule="atLeast"/>
        </w:trPr>
        <w:tc>
          <w:tcPr>
            <w:tcW w:w="3100" w:type="dxa"/>
            <w:shd w:fill="FFFFFF" w:val="clear"/>
            <w:tcMar>
              <w:top w:w="80" w:type="dxa"/>
              <w:left w:w="100" w:type="dxa"/>
              <w:bottom w:w="80" w:type="dxa"/>
              <w:right w:w="100" w:type="dxa"/>
            </w:tcMar>
            <w:vAlign w:val="center"/>
          </w:tcPr>
          <w:p>
            <w:pPr>
              <w:jc w:val="left"/>
              <w:spacing w:before="30" w:after="30" w:line="220" w:lineRule="auto"/>
              <w:ind w:left="240"/>
              <w:rPr>
                <w:rFonts w:ascii="Arial" w:hAnsi="Arial"/>
                <w:sz w:val="19"/>
                <w:szCs w:val="19"/>
              </w:rPr>
            </w:pPr>
            <w:r>
              <w:rPr>
                <w:rFonts w:ascii="Arial" w:hAnsi="Arial"/>
                <w:sz w:val="19"/>
                <w:szCs w:val="19"/>
              </w:rPr>
              <w:t xml:space="preserve">Labor: Full-Stack Implementation</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45,000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45,000</w:t>
            </w:r>
          </w:p>
        </w:tc>
      </w:tr>
      <w:tr>
        <w:trPr>
          <w:cantSplit w:val="1"/>
          <w:trHeight w:val="320" w:hRule="atLeast"/>
        </w:trPr>
        <w:tc>
          <w:tcPr>
            <w:tcW w:w="3100" w:type="dxa"/>
            <w:shd w:fill="FFFFFF" w:val="clear"/>
            <w:tcMar>
              <w:top w:w="80" w:type="dxa"/>
              <w:left w:w="100" w:type="dxa"/>
              <w:bottom w:w="80" w:type="dxa"/>
              <w:right w:w="100" w:type="dxa"/>
            </w:tcMar>
            <w:vAlign w:val="center"/>
          </w:tcPr>
          <w:p>
            <w:pPr>
              <w:jc w:val="left"/>
              <w:spacing w:before="30" w:after="30" w:line="220" w:lineRule="auto"/>
              <w:ind w:left="240"/>
              <w:rPr>
                <w:rFonts w:ascii="Arial" w:hAnsi="Arial"/>
                <w:sz w:val="19"/>
                <w:szCs w:val="19"/>
              </w:rPr>
            </w:pPr>
            <w:r>
              <w:rPr>
                <w:rFonts w:ascii="Arial" w:hAnsi="Arial"/>
                <w:sz w:val="19"/>
                <w:szCs w:val="19"/>
              </w:rPr>
              <w:t xml:space="preserve">Labor: Testing &amp; Quality Assurance</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15,000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15,000</w:t>
            </w:r>
          </w:p>
        </w:tc>
      </w:tr>
      <w:tr>
        <w:trPr>
          <w:cantSplit w:val="1"/>
          <w:trHeight w:val="320" w:hRule="atLeast"/>
        </w:trPr>
        <w:tc>
          <w:tcPr>
            <w:tcW w:w="3100" w:type="dxa"/>
            <w:shd w:fill="FFFFFF" w:val="clear"/>
            <w:tcMar>
              <w:top w:w="80" w:type="dxa"/>
              <w:left w:w="100" w:type="dxa"/>
              <w:bottom w:w="80" w:type="dxa"/>
              <w:right w:w="100" w:type="dxa"/>
            </w:tcMar>
            <w:vAlign w:val="center"/>
          </w:tcPr>
          <w:p>
            <w:pPr>
              <w:jc w:val="left"/>
              <w:spacing w:before="30" w:after="30" w:line="220" w:lineRule="auto"/>
              <w:ind w:left="240"/>
              <w:rPr>
                <w:rFonts w:ascii="Arial" w:hAnsi="Arial"/>
                <w:sz w:val="19"/>
                <w:szCs w:val="19"/>
              </w:rPr>
            </w:pPr>
            <w:r>
              <w:rPr>
                <w:rFonts w:ascii="Arial" w:hAnsi="Arial"/>
                <w:sz w:val="19"/>
                <w:szCs w:val="19"/>
              </w:rPr>
              <w:t xml:space="preserve">User Training &amp; Staff Onboarding</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8,000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8,000</w:t>
            </w:r>
          </w:p>
        </w:tc>
      </w:tr>
      <w:tr>
        <w:trPr>
          <w:cantSplit w:val="1"/>
          <w:trHeight w:val="320" w:hRule="atLeast"/>
        </w:trPr>
        <w:tc>
          <w:tcPr>
            <w:tcW w:w="3100" w:type="dxa"/>
            <w:shd w:fill="FFFFFF" w:val="clear"/>
            <w:tcMar>
              <w:top w:w="80" w:type="dxa"/>
              <w:left w:w="100" w:type="dxa"/>
              <w:bottom w:w="80" w:type="dxa"/>
              <w:right w:w="100" w:type="dxa"/>
            </w:tcMar>
            <w:vAlign w:val="center"/>
          </w:tcPr>
          <w:p>
            <w:pPr>
              <w:jc w:val="left"/>
              <w:spacing w:before="30" w:after="30" w:line="220" w:lineRule="auto"/>
              <w:ind w:left="240"/>
              <w:rPr>
                <w:rFonts w:ascii="Arial" w:hAnsi="Arial"/>
                <w:sz w:val="19"/>
                <w:szCs w:val="19"/>
              </w:rPr>
            </w:pPr>
            <w:r>
              <w:rPr>
                <w:rFonts w:ascii="Arial" w:hAnsi="Arial"/>
                <w:sz w:val="19"/>
                <w:szCs w:val="19"/>
              </w:rPr>
              <w:t xml:space="preserve">Hardware: Dedicated Tablet Device</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12,000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12,000</w:t>
            </w:r>
          </w:p>
        </w:tc>
      </w:tr>
      <w:tr>
        <w:trPr>
          <w:cantSplit w:val="1"/>
          <w:trHeight w:val="320" w:hRule="atLeast"/>
        </w:trPr>
        <w:tc>
          <w:tcPr>
            <w:tcW w:w="3100" w:type="dxa"/>
            <w:shd w:fill="FFFFFF" w:val="clear"/>
            <w:tcMar>
              <w:top w:w="80" w:type="dxa"/>
              <w:left w:w="100" w:type="dxa"/>
              <w:bottom w:w="80" w:type="dxa"/>
              <w:right w:w="100" w:type="dxa"/>
            </w:tcMar>
            <w:vAlign w:val="center"/>
          </w:tcPr>
          <w:p>
            <w:pPr>
              <w:jc w:val="left"/>
              <w:spacing w:before="30" w:after="30" w:line="220" w:lineRule="auto"/>
              <w:ind w:left="240"/>
              <w:rPr>
                <w:rFonts w:ascii="Arial" w:hAnsi="Arial"/>
                <w:sz w:val="19"/>
                <w:szCs w:val="19"/>
              </w:rPr>
            </w:pPr>
            <w:r>
              <w:rPr>
                <w:rFonts w:ascii="Arial" w:hAnsi="Arial"/>
                <w:sz w:val="19"/>
                <w:szCs w:val="19"/>
              </w:rPr>
              <w:t xml:space="preserve">Software Licenses, Domain &amp; Dev Setup</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5,000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5,000</w:t>
            </w:r>
          </w:p>
        </w:tc>
      </w:tr>
      <w:tr>
        <w:trPr>
          <w:cantSplit w:val="1"/>
          <w:trHeight w:val="320" w:hRule="atLeast"/>
        </w:trPr>
        <w:tc>
          <w:tcPr>
            <w:tcW w:w="3100" w:type="dxa"/>
            <w:shd w:fill="FFFFFF" w:val="clear"/>
            <w:tcMar>
              <w:top w:w="80" w:type="dxa"/>
              <w:left w:w="100" w:type="dxa"/>
              <w:bottom w:w="80" w:type="dxa"/>
              <w:right w:w="100" w:type="dxa"/>
            </w:tcMar>
            <w:vAlign w:val="center"/>
          </w:tcPr>
          <w:p>
            <w:pPr>
              <w:jc w:val="left"/>
              <w:spacing w:before="30" w:after="30" w:line="220" w:lineRule="auto"/>
              <w:ind w:left="240"/>
              <w:rPr>
                <w:rFonts w:ascii="Arial" w:hAnsi="Arial"/>
                <w:sz w:val="19"/>
                <w:szCs w:val="19"/>
              </w:rPr>
            </w:pPr>
            <w:r>
              <w:rPr>
                <w:rFonts w:ascii="Arial" w:hAnsi="Arial"/>
                <w:sz w:val="19"/>
                <w:szCs w:val="19"/>
              </w:rPr>
              <w:t xml:space="preserve">Office Supplies &amp; Clear Book Migration</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5,000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5,000</w:t>
            </w:r>
          </w:p>
        </w:tc>
      </w:tr>
      <w:tr>
        <w:trPr>
          <w:cantSplit w:val="1"/>
          <w:trHeight w:val="320" w:hRule="atLeast"/>
        </w:trPr>
        <w:tc>
          <w:tcPr>
            <w:tcW w:w="3100" w:type="dxa"/>
            <w:shd w:fill="F2F2F2" w:val="clear"/>
            <w:tcMar>
              <w:top w:w="80" w:type="dxa"/>
              <w:left w:w="100" w:type="dxa"/>
              <w:bottom w:w="80" w:type="dxa"/>
              <w:right w:w="100" w:type="dxa"/>
            </w:tcMar>
            <w:vAlign w:val="center"/>
          </w:tcPr>
          <w:p>
            <w:pPr>
              <w:jc w:val="left"/>
              <w:spacing w:before="30" w:after="30" w:line="220" w:lineRule="auto"/>
              <w:ind/>
              <w:rPr>
                <w:rFonts w:ascii="Arial" w:hAnsi="Arial"/>
                <w:b w:val="1"/>
                <w:bCs w:val="1"/>
                <w:sz w:val="19"/>
                <w:szCs w:val="19"/>
              </w:rPr>
            </w:pPr>
            <w:r>
              <w:rPr>
                <w:rFonts w:ascii="Arial" w:hAnsi="Arial"/>
                <w:b w:val="1"/>
                <w:bCs w:val="1"/>
                <w:sz w:val="19"/>
                <w:szCs w:val="19"/>
              </w:rPr>
              <w:t xml:space="preserve">Total Development Costs</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135,000</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0</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0</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0</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135,000</w:t>
            </w:r>
          </w:p>
        </w:tc>
      </w:tr>
      <w:tr>
        <w:trPr>
          <w:cantSplit w:val="1"/>
          <w:trHeight w:val="320" w:hRule="atLeast"/>
        </w:trPr>
        <w:tc>
          <w:tcPr>
            <w:tcW w:w="3100" w:type="dxa"/>
            <w:shd w:fill="E8F1FA" w:val="clear"/>
            <w:tcMar>
              <w:top w:w="80" w:type="dxa"/>
              <w:left w:w="100" w:type="dxa"/>
              <w:bottom w:w="80" w:type="dxa"/>
              <w:right w:w="100" w:type="dxa"/>
            </w:tcMar>
            <w:vAlign w:val="center"/>
          </w:tcPr>
          <w:p>
            <w:pPr>
              <w:jc w:val="left"/>
              <w:spacing w:before="30" w:after="30" w:line="220" w:lineRule="auto"/>
              <w:ind/>
              <w:rPr>
                <w:rFonts w:ascii="Arial" w:hAnsi="Arial"/>
                <w:b w:val="1"/>
                <w:bCs w:val="1"/>
                <w:sz w:val="19"/>
                <w:szCs w:val="19"/>
              </w:rPr>
            </w:pPr>
            <w:r>
              <w:rPr>
                <w:rFonts w:ascii="Arial" w:hAnsi="Arial"/>
                <w:b w:val="1"/>
                <w:bCs w:val="1"/>
                <w:sz w:val="19"/>
                <w:szCs w:val="19"/>
              </w:rPr>
              <w:t xml:space="preserve">Operational Costs (Ongoing)</w:t>
            </w:r>
          </w:p>
        </w:tc>
        <w:tc>
          <w:tcPr>
            <w:tcW w:w="1260" w:type="dxa"/>
            <w:shd w:fill="E8F1FA"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
            </w:r>
          </w:p>
        </w:tc>
        <w:tc>
          <w:tcPr>
            <w:tcW w:w="1260" w:type="dxa"/>
            <w:shd w:fill="E8F1FA"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
            </w:r>
          </w:p>
        </w:tc>
        <w:tc>
          <w:tcPr>
            <w:tcW w:w="1260" w:type="dxa"/>
            <w:shd w:fill="E8F1FA"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
            </w:r>
          </w:p>
        </w:tc>
        <w:tc>
          <w:tcPr>
            <w:tcW w:w="1260" w:type="dxa"/>
            <w:shd w:fill="E8F1FA"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
            </w:r>
          </w:p>
        </w:tc>
        <w:tc>
          <w:tcPr>
            <w:tcW w:w="1260" w:type="dxa"/>
            <w:shd w:fill="E8F1FA"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
            </w:r>
          </w:p>
        </w:tc>
      </w:tr>
      <w:tr>
        <w:trPr>
          <w:cantSplit w:val="1"/>
          <w:trHeight w:val="320" w:hRule="atLeast"/>
        </w:trPr>
        <w:tc>
          <w:tcPr>
            <w:tcW w:w="3100" w:type="dxa"/>
            <w:shd w:fill="FFFFFF" w:val="clear"/>
            <w:tcMar>
              <w:top w:w="80" w:type="dxa"/>
              <w:left w:w="100" w:type="dxa"/>
              <w:bottom w:w="80" w:type="dxa"/>
              <w:right w:w="100" w:type="dxa"/>
            </w:tcMar>
            <w:vAlign w:val="center"/>
          </w:tcPr>
          <w:p>
            <w:pPr>
              <w:jc w:val="left"/>
              <w:spacing w:before="30" w:after="30" w:line="220" w:lineRule="auto"/>
              <w:ind w:left="240"/>
              <w:rPr>
                <w:rFonts w:ascii="Arial" w:hAnsi="Arial"/>
                <w:sz w:val="19"/>
                <w:szCs w:val="19"/>
              </w:rPr>
            </w:pPr>
            <w:r>
              <w:rPr>
                <w:rFonts w:ascii="Arial" w:hAnsi="Arial"/>
                <w:sz w:val="19"/>
                <w:szCs w:val="19"/>
              </w:rPr>
              <w:t xml:space="preserve">Cloud Hosting &amp; Backup Storage</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12,000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12,600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13,200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37,800</w:t>
            </w:r>
          </w:p>
        </w:tc>
      </w:tr>
      <w:tr>
        <w:trPr>
          <w:cantSplit w:val="1"/>
          <w:trHeight w:val="320" w:hRule="atLeast"/>
        </w:trPr>
        <w:tc>
          <w:tcPr>
            <w:tcW w:w="3100" w:type="dxa"/>
            <w:shd w:fill="FFFFFF" w:val="clear"/>
            <w:tcMar>
              <w:top w:w="80" w:type="dxa"/>
              <w:left w:w="100" w:type="dxa"/>
              <w:bottom w:w="80" w:type="dxa"/>
              <w:right w:w="100" w:type="dxa"/>
            </w:tcMar>
            <w:vAlign w:val="center"/>
          </w:tcPr>
          <w:p>
            <w:pPr>
              <w:jc w:val="left"/>
              <w:spacing w:before="30" w:after="30" w:line="220" w:lineRule="auto"/>
              <w:ind w:left="240"/>
              <w:rPr>
                <w:rFonts w:ascii="Arial" w:hAnsi="Arial"/>
                <w:sz w:val="19"/>
                <w:szCs w:val="19"/>
              </w:rPr>
            </w:pPr>
            <w:r>
              <w:rPr>
                <w:rFonts w:ascii="Arial" w:hAnsi="Arial"/>
                <w:sz w:val="19"/>
                <w:szCs w:val="19"/>
              </w:rPr>
              <w:t xml:space="preserve">Domain Name &amp; SSL Security</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2,500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2,500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2,500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7,500</w:t>
            </w:r>
          </w:p>
        </w:tc>
      </w:tr>
      <w:tr>
        <w:trPr>
          <w:cantSplit w:val="1"/>
          <w:trHeight w:val="320" w:hRule="atLeast"/>
        </w:trPr>
        <w:tc>
          <w:tcPr>
            <w:tcW w:w="3100" w:type="dxa"/>
            <w:shd w:fill="FFFFFF" w:val="clear"/>
            <w:tcMar>
              <w:top w:w="80" w:type="dxa"/>
              <w:left w:w="100" w:type="dxa"/>
              <w:bottom w:w="80" w:type="dxa"/>
              <w:right w:w="100" w:type="dxa"/>
            </w:tcMar>
            <w:vAlign w:val="center"/>
          </w:tcPr>
          <w:p>
            <w:pPr>
              <w:jc w:val="left"/>
              <w:spacing w:before="30" w:after="30" w:line="220" w:lineRule="auto"/>
              <w:ind w:left="240"/>
              <w:rPr>
                <w:rFonts w:ascii="Arial" w:hAnsi="Arial"/>
                <w:sz w:val="19"/>
                <w:szCs w:val="19"/>
              </w:rPr>
            </w:pPr>
            <w:r>
              <w:rPr>
                <w:rFonts w:ascii="Arial" w:hAnsi="Arial"/>
                <w:sz w:val="19"/>
                <w:szCs w:val="19"/>
              </w:rPr>
              <w:t xml:space="preserve">Software Maintenance &amp; Support</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15,000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16,000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17,000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48,000</w:t>
            </w:r>
          </w:p>
        </w:tc>
      </w:tr>
      <w:tr>
        <w:trPr>
          <w:cantSplit w:val="1"/>
          <w:trHeight w:val="320" w:hRule="atLeast"/>
        </w:trPr>
        <w:tc>
          <w:tcPr>
            <w:tcW w:w="3100" w:type="dxa"/>
            <w:shd w:fill="FFFFFF" w:val="clear"/>
            <w:tcMar>
              <w:top w:w="80" w:type="dxa"/>
              <w:left w:w="100" w:type="dxa"/>
              <w:bottom w:w="80" w:type="dxa"/>
              <w:right w:w="100" w:type="dxa"/>
            </w:tcMar>
            <w:vAlign w:val="center"/>
          </w:tcPr>
          <w:p>
            <w:pPr>
              <w:jc w:val="left"/>
              <w:spacing w:before="30" w:after="30" w:line="220" w:lineRule="auto"/>
              <w:ind w:left="240"/>
              <w:rPr>
                <w:rFonts w:ascii="Arial" w:hAnsi="Arial"/>
                <w:sz w:val="19"/>
                <w:szCs w:val="19"/>
              </w:rPr>
            </w:pPr>
            <w:r>
              <w:rPr>
                <w:rFonts w:ascii="Arial" w:hAnsi="Arial"/>
                <w:sz w:val="19"/>
                <w:szCs w:val="19"/>
              </w:rPr>
              <w:t xml:space="preserve">Hardware Repairs &amp; Maintenance</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6,000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6,500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7,000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19,500</w:t>
            </w:r>
          </w:p>
        </w:tc>
      </w:tr>
      <w:tr>
        <w:trPr>
          <w:cantSplit w:val="1"/>
          <w:trHeight w:val="320" w:hRule="atLeast"/>
        </w:trPr>
        <w:tc>
          <w:tcPr>
            <w:tcW w:w="3100" w:type="dxa"/>
            <w:shd w:fill="FFFFFF" w:val="clear"/>
            <w:tcMar>
              <w:top w:w="80" w:type="dxa"/>
              <w:left w:w="100" w:type="dxa"/>
              <w:bottom w:w="80" w:type="dxa"/>
              <w:right w:w="100" w:type="dxa"/>
            </w:tcMar>
            <w:vAlign w:val="center"/>
          </w:tcPr>
          <w:p>
            <w:pPr>
              <w:jc w:val="left"/>
              <w:spacing w:before="30" w:after="30" w:line="220" w:lineRule="auto"/>
              <w:ind w:left="240"/>
              <w:rPr>
                <w:rFonts w:ascii="Arial" w:hAnsi="Arial"/>
                <w:sz w:val="19"/>
                <w:szCs w:val="19"/>
              </w:rPr>
            </w:pPr>
            <w:r>
              <w:rPr>
                <w:rFonts w:ascii="Arial" w:hAnsi="Arial"/>
                <w:sz w:val="19"/>
                <w:szCs w:val="19"/>
              </w:rPr>
              <w:t xml:space="preserve">Staff Refresher Training</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4,000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3,000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3,000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10,000</w:t>
            </w:r>
          </w:p>
        </w:tc>
      </w:tr>
      <w:tr>
        <w:trPr>
          <w:cantSplit w:val="1"/>
          <w:trHeight w:val="320" w:hRule="atLeast"/>
        </w:trPr>
        <w:tc>
          <w:tcPr>
            <w:tcW w:w="3100" w:type="dxa"/>
            <w:shd w:fill="FFFFFF" w:val="clear"/>
            <w:tcMar>
              <w:top w:w="80" w:type="dxa"/>
              <w:left w:w="100" w:type="dxa"/>
              <w:bottom w:w="80" w:type="dxa"/>
              <w:right w:w="100" w:type="dxa"/>
            </w:tcMar>
            <w:vAlign w:val="center"/>
          </w:tcPr>
          <w:p>
            <w:pPr>
              <w:jc w:val="left"/>
              <w:spacing w:before="30" w:after="30" w:line="220" w:lineRule="auto"/>
              <w:ind w:left="240"/>
              <w:rPr>
                <w:rFonts w:ascii="Arial" w:hAnsi="Arial"/>
                <w:sz w:val="19"/>
                <w:szCs w:val="19"/>
              </w:rPr>
            </w:pPr>
            <w:r>
              <w:rPr>
                <w:rFonts w:ascii="Arial" w:hAnsi="Arial"/>
                <w:sz w:val="19"/>
                <w:szCs w:val="19"/>
              </w:rPr>
              <w:t xml:space="preserve">Communications &amp; Internet Allocation</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8,000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8,400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8,800</w:t>
            </w:r>
          </w:p>
        </w:tc>
        <w:tc>
          <w:tcPr>
            <w:tcW w:w="1260" w:type="dxa"/>
            <w:shd w:fill="FFFFFF" w:val="clear"/>
            <w:tcMar>
              <w:top w:w="80" w:type="dxa"/>
              <w:left w:w="100" w:type="dxa"/>
              <w:bottom w:w="80" w:type="dxa"/>
              <w:right w:w="100" w:type="dxa"/>
            </w:tcMar>
            <w:vAlign w:val="center"/>
          </w:tcPr>
          <w:p>
            <w:pPr>
              <w:jc w:val="right"/>
              <w:spacing w:before="30" w:after="30" w:line="220" w:lineRule="auto"/>
              <w:ind/>
              <w:rPr>
                <w:rFonts w:ascii="Arial" w:hAnsi="Arial"/>
                <w:sz w:val="19"/>
                <w:szCs w:val="19"/>
              </w:rPr>
            </w:pPr>
            <w:r>
              <w:rPr>
                <w:rFonts w:ascii="Arial" w:hAnsi="Arial"/>
                <w:sz w:val="19"/>
                <w:szCs w:val="19"/>
              </w:rPr>
              <w:t xml:space="preserve">25,200</w:t>
            </w:r>
          </w:p>
        </w:tc>
      </w:tr>
      <w:tr>
        <w:trPr>
          <w:cantSplit w:val="1"/>
          <w:trHeight w:val="320" w:hRule="atLeast"/>
        </w:trPr>
        <w:tc>
          <w:tcPr>
            <w:tcW w:w="3100" w:type="dxa"/>
            <w:shd w:fill="F2F2F2" w:val="clear"/>
            <w:tcMar>
              <w:top w:w="80" w:type="dxa"/>
              <w:left w:w="100" w:type="dxa"/>
              <w:bottom w:w="80" w:type="dxa"/>
              <w:right w:w="100" w:type="dxa"/>
            </w:tcMar>
            <w:vAlign w:val="center"/>
          </w:tcPr>
          <w:p>
            <w:pPr>
              <w:jc w:val="left"/>
              <w:spacing w:before="30" w:after="30" w:line="220" w:lineRule="auto"/>
              <w:ind/>
              <w:rPr>
                <w:rFonts w:ascii="Arial" w:hAnsi="Arial"/>
                <w:b w:val="1"/>
                <w:bCs w:val="1"/>
                <w:sz w:val="19"/>
                <w:szCs w:val="19"/>
              </w:rPr>
            </w:pPr>
            <w:r>
              <w:rPr>
                <w:rFonts w:ascii="Arial" w:hAnsi="Arial"/>
                <w:b w:val="1"/>
                <w:bCs w:val="1"/>
                <w:sz w:val="19"/>
                <w:szCs w:val="19"/>
              </w:rPr>
              <w:t xml:space="preserve">Total Operational Costs</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0</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47,500</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49,000</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51,500</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148,000</w:t>
            </w:r>
          </w:p>
        </w:tc>
      </w:tr>
      <w:tr>
        <w:trPr>
          <w:cantSplit w:val="1"/>
          <w:trHeight w:val="320" w:hRule="atLeast"/>
        </w:trPr>
        <w:tc>
          <w:tcPr>
            <w:tcW w:w="3100" w:type="dxa"/>
            <w:shd w:fill="D9E1F2" w:val="clear"/>
            <w:tcMar>
              <w:top w:w="80" w:type="dxa"/>
              <w:left w:w="100" w:type="dxa"/>
              <w:bottom w:w="80" w:type="dxa"/>
              <w:right w:w="100" w:type="dxa"/>
            </w:tcMar>
            <w:vAlign w:val="center"/>
          </w:tcPr>
          <w:p>
            <w:pPr>
              <w:jc w:val="left"/>
              <w:spacing w:before="30" w:after="30" w:line="220" w:lineRule="auto"/>
              <w:ind/>
              <w:rPr>
                <w:rFonts w:ascii="Arial" w:hAnsi="Arial"/>
                <w:b w:val="1"/>
                <w:bCs w:val="1"/>
                <w:sz w:val="19"/>
                <w:szCs w:val="19"/>
              </w:rPr>
            </w:pPr>
            <w:r>
              <w:rPr>
                <w:rFonts w:ascii="Arial" w:hAnsi="Arial"/>
                <w:b w:val="1"/>
                <w:bCs w:val="1"/>
                <w:sz w:val="19"/>
                <w:szCs w:val="19"/>
              </w:rPr>
              <w:t xml:space="preserve">Total Costs (Development + Operational)</w:t>
            </w:r>
          </w:p>
        </w:tc>
        <w:tc>
          <w:tcPr>
            <w:tcW w:w="1260" w:type="dxa"/>
            <w:shd w:fill="D9E1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135,000</w:t>
            </w:r>
          </w:p>
        </w:tc>
        <w:tc>
          <w:tcPr>
            <w:tcW w:w="1260" w:type="dxa"/>
            <w:shd w:fill="D9E1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47,500</w:t>
            </w:r>
          </w:p>
        </w:tc>
        <w:tc>
          <w:tcPr>
            <w:tcW w:w="1260" w:type="dxa"/>
            <w:shd w:fill="D9E1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49,000</w:t>
            </w:r>
          </w:p>
        </w:tc>
        <w:tc>
          <w:tcPr>
            <w:tcW w:w="1260" w:type="dxa"/>
            <w:shd w:fill="D9E1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51,500</w:t>
            </w:r>
          </w:p>
        </w:tc>
        <w:tc>
          <w:tcPr>
            <w:tcW w:w="1260" w:type="dxa"/>
            <w:shd w:fill="D9E1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283,000</w:t>
            </w:r>
          </w:p>
        </w:tc>
      </w:tr>
      <w:tr>
        <w:trPr>
          <w:cantSplit w:val="1"/>
          <w:trHeight w:val="320" w:hRule="atLeast"/>
        </w:trPr>
        <w:tc>
          <w:tcPr>
            <w:tcW w:w="3100" w:type="dxa"/>
            <w:shd w:fill="D9E1F2" w:val="clear"/>
            <w:tcMar>
              <w:top w:w="80" w:type="dxa"/>
              <w:left w:w="100" w:type="dxa"/>
              <w:bottom w:w="80" w:type="dxa"/>
              <w:right w:w="100" w:type="dxa"/>
            </w:tcMar>
            <w:vAlign w:val="center"/>
          </w:tcPr>
          <w:p>
            <w:pPr>
              <w:jc w:val="left"/>
              <w:spacing w:before="30" w:after="30" w:line="220" w:lineRule="auto"/>
              <w:ind/>
              <w:rPr>
                <w:rFonts w:ascii="Arial" w:hAnsi="Arial"/>
                <w:b w:val="1"/>
                <w:bCs w:val="1"/>
                <w:sz w:val="19"/>
                <w:szCs w:val="19"/>
              </w:rPr>
            </w:pPr>
            <w:r>
              <w:rPr>
                <w:rFonts w:ascii="Arial" w:hAnsi="Arial"/>
                <w:b w:val="1"/>
                <w:bCs w:val="1"/>
                <w:sz w:val="19"/>
                <w:szCs w:val="19"/>
              </w:rPr>
              <w:t xml:space="preserve">Total Benefits – Total Costs (Net Cash Flow)</w:t>
            </w:r>
          </w:p>
        </w:tc>
        <w:tc>
          <w:tcPr>
            <w:tcW w:w="1260" w:type="dxa"/>
            <w:shd w:fill="D9E1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(135,000)</w:t>
            </w:r>
          </w:p>
        </w:tc>
        <w:tc>
          <w:tcPr>
            <w:tcW w:w="1260" w:type="dxa"/>
            <w:shd w:fill="D9E1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232,500</w:t>
            </w:r>
          </w:p>
        </w:tc>
        <w:tc>
          <w:tcPr>
            <w:tcW w:w="1260" w:type="dxa"/>
            <w:shd w:fill="D9E1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266,000</w:t>
            </w:r>
          </w:p>
        </w:tc>
        <w:tc>
          <w:tcPr>
            <w:tcW w:w="1260" w:type="dxa"/>
            <w:shd w:fill="D9E1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300,500</w:t>
            </w:r>
          </w:p>
        </w:tc>
        <w:tc>
          <w:tcPr>
            <w:tcW w:w="1260" w:type="dxa"/>
            <w:shd w:fill="D9E1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664,000</w:t>
            </w:r>
          </w:p>
        </w:tc>
      </w:tr>
      <w:tr>
        <w:trPr>
          <w:cantSplit w:val="1"/>
          <w:trHeight w:val="320" w:hRule="atLeast"/>
        </w:trPr>
        <w:tc>
          <w:tcPr>
            <w:tcW w:w="3100" w:type="dxa"/>
            <w:shd w:fill="D9E1F2" w:val="clear"/>
            <w:tcMar>
              <w:top w:w="80" w:type="dxa"/>
              <w:left w:w="100" w:type="dxa"/>
              <w:bottom w:w="80" w:type="dxa"/>
              <w:right w:w="100" w:type="dxa"/>
            </w:tcMar>
            <w:vAlign w:val="center"/>
          </w:tcPr>
          <w:p>
            <w:pPr>
              <w:jc w:val="left"/>
              <w:spacing w:before="30" w:after="30" w:line="220" w:lineRule="auto"/>
              <w:ind/>
              <w:rPr>
                <w:rFonts w:ascii="Arial" w:hAnsi="Arial"/>
                <w:b w:val="1"/>
                <w:bCs w:val="1"/>
                <w:sz w:val="19"/>
                <w:szCs w:val="19"/>
              </w:rPr>
            </w:pPr>
            <w:r>
              <w:rPr>
                <w:rFonts w:ascii="Arial" w:hAnsi="Arial"/>
                <w:b w:val="1"/>
                <w:bCs w:val="1"/>
                <w:sz w:val="19"/>
                <w:szCs w:val="19"/>
              </w:rPr>
              <w:t xml:space="preserve">Cumulative Net Cash Flow</w:t>
            </w:r>
          </w:p>
        </w:tc>
        <w:tc>
          <w:tcPr>
            <w:tcW w:w="1260" w:type="dxa"/>
            <w:shd w:fill="D9E1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(135,000)</w:t>
            </w:r>
          </w:p>
        </w:tc>
        <w:tc>
          <w:tcPr>
            <w:tcW w:w="1260" w:type="dxa"/>
            <w:shd w:fill="D9E1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97,500</w:t>
            </w:r>
          </w:p>
        </w:tc>
        <w:tc>
          <w:tcPr>
            <w:tcW w:w="1260" w:type="dxa"/>
            <w:shd w:fill="D9E1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363,500</w:t>
            </w:r>
          </w:p>
        </w:tc>
        <w:tc>
          <w:tcPr>
            <w:tcW w:w="1260" w:type="dxa"/>
            <w:shd w:fill="D9E1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664,000</w:t>
            </w:r>
          </w:p>
        </w:tc>
        <w:tc>
          <w:tcPr>
            <w:tcW w:w="1260" w:type="dxa"/>
            <w:shd w:fill="D9E1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664,000</w:t>
            </w:r>
          </w:p>
        </w:tc>
      </w:tr>
      <w:tr>
        <w:trPr>
          <w:cantSplit w:val="1"/>
          <w:trHeight w:val="320" w:hRule="atLeast"/>
        </w:trPr>
        <w:tc>
          <w:tcPr>
            <w:tcW w:w="3100" w:type="dxa"/>
            <w:shd w:fill="F2F2F2" w:val="clear"/>
            <w:tcMar>
              <w:top w:w="80" w:type="dxa"/>
              <w:left w:w="100" w:type="dxa"/>
              <w:bottom w:w="80" w:type="dxa"/>
              <w:right w:w="100" w:type="dxa"/>
            </w:tcMar>
            <w:vAlign w:val="center"/>
          </w:tcPr>
          <w:p>
            <w:pPr>
              <w:jc w:val="left"/>
              <w:spacing w:before="30" w:after="30" w:line="220" w:lineRule="auto"/>
              <w:ind/>
              <w:rPr>
                <w:rFonts w:ascii="Arial" w:hAnsi="Arial"/>
                <w:b w:val="1"/>
                <w:bCs w:val="1"/>
                <w:sz w:val="19"/>
                <w:szCs w:val="19"/>
              </w:rPr>
            </w:pPr>
            <w:r>
              <w:rPr>
                <w:rFonts w:ascii="Arial" w:hAnsi="Arial"/>
                <w:b w:val="1"/>
                <w:bCs w:val="1"/>
                <w:sz w:val="19"/>
                <w:szCs w:val="19"/>
              </w:rPr>
              <w:t xml:space="preserve">Present Value of Total Costs (10%)</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135,000</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43,182</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40,496</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38,693</w:t>
            </w:r>
          </w:p>
        </w:tc>
        <w:tc>
          <w:tcPr>
            <w:tcW w:w="1260" w:type="dxa"/>
            <w:shd w:fill="F2F2F2" w:val="clear"/>
            <w:tcMar>
              <w:top w:w="80" w:type="dxa"/>
              <w:left w:w="100" w:type="dxa"/>
              <w:bottom w:w="80" w:type="dxa"/>
              <w:right w:w="100" w:type="dxa"/>
            </w:tcMar>
            <w:vAlign w:val="center"/>
          </w:tcPr>
          <w:p>
            <w:pPr>
              <w:jc w:val="right"/>
              <w:spacing w:before="30" w:after="30" w:line="220" w:lineRule="auto"/>
              <w:ind/>
              <w:rPr>
                <w:rFonts w:ascii="Arial" w:hAnsi="Arial"/>
                <w:b w:val="1"/>
                <w:bCs w:val="1"/>
                <w:sz w:val="19"/>
                <w:szCs w:val="19"/>
              </w:rPr>
            </w:pPr>
            <w:r>
              <w:rPr>
                <w:rFonts w:ascii="Arial" w:hAnsi="Arial"/>
                <w:b w:val="1"/>
                <w:bCs w:val="1"/>
                <w:sz w:val="19"/>
                <w:szCs w:val="19"/>
              </w:rPr>
              <w:t xml:space="preserve">257,370</w:t>
            </w:r>
          </w:p>
        </w:tc>
      </w:tr>
    </w:tbl>
    <w:p>
      <w:pPr>
        <w:spacing w:before="120" w:after="120"/>
      </w:pPr>
    </w:p>
    <w:p w:rsidR="00000000" w:rsidDel="00000000" w:rsidP="00000000" w:rsidRDefault="00000000" w14:paraId="000000f2">
      <w:pPr>
        <w:pStyle w:val="Heading2"/>
        <w:keepNext w:val="0"/>
        <w:keepLines w:val="0"/>
        <w:widowControl w:val="0"/>
        <w:spacing w:before="280" w:after="100" w:line="240" w:lineRule="auto"/>
        <w:rPr>
          <w:b w:val="1"/>
          <w:bCs w:val="1"/>
          <w:sz w:val="24"/>
          <w:szCs w:val="24"/>
        </w:rPr>
      </w:pPr>
      <w:r>
        <w:rPr>
          <w:b w:val="1"/>
          <w:bCs w:val="1"/>
          <w:sz w:val="24"/>
          <w:szCs w:val="24"/>
          <w:rtl w:val="0"/>
        </w:rPr>
        <w:t xml:space="preserve">4. Project Economic Value Calculations</w:t>
      </w:r>
    </w:p>
    <w:p w:rsidR="00000000" w:rsidDel="00000000" w:rsidP="00000000" w:rsidRDefault="00000000" w14:paraId="000000f3">
      <w:pPr>
        <w:spacing w:before="180" w:after="60" w:line="240" w:lineRule="auto"/>
        <w:ind w:left="360" w:firstLine="0"/>
        <w:rPr>
          <w:b w:val="1"/>
          <w:bCs w:val="1"/>
          <w:sz w:val="24"/>
          <w:szCs w:val="24"/>
        </w:rPr>
      </w:pPr>
      <w:r>
        <w:rPr>
          <w:b w:val="1"/>
          <w:bCs w:val="1"/>
          <w:sz w:val="24"/>
          <w:szCs w:val="24"/>
          <w:rtl w:val="0"/>
        </w:rPr>
        <w:t xml:space="preserve">4.1 Return on Investment (ROI)</w:t>
      </w:r>
    </w:p>
    <w:p w:rsidR="00000000" w:rsidDel="00000000" w:rsidP="00000000" w:rsidRDefault="00000000" w14:paraId="000000f4">
      <w:pPr>
        <w:spacing w:before="60" w:after="120" w:line="276" w:lineRule="auto"/>
        <w:jc w:val="both"/>
        <w:rPr>
          <w:sz w:val="24"/>
          <w:szCs w:val="24"/>
        </w:rPr>
      </w:pPr>
      <w:r>
        <w:rPr>
          <w:sz w:val="24"/>
          <w:szCs w:val="24"/>
          <w:rtl w:val="0"/>
        </w:rPr>
        <w:t xml:space="preserve">The Return on Investment measures the percentage return earned on the total funds invested in the project:</w:t>
      </w:r>
    </w:p>
    <w:p w:rsidR="00000000" w:rsidDel="00000000" w:rsidP="00000000" w:rsidRDefault="00000000" w14:paraId="000000f5">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Formula: </w:t>
      </w:r>
      <w:r>
        <w:rPr>
          <w:sz w:val="24"/>
          <w:szCs w:val="24"/>
          <w:rtl w:val="0"/>
        </w:rPr>
        <w:t xml:space="preserve">ROI = (Total Benefits – Total Costs) / Total Costs</w:t>
      </w:r>
    </w:p>
    <w:p w:rsidR="00000000" w:rsidDel="00000000" w:rsidP="00000000" w:rsidRDefault="00000000" w14:paraId="000000f6">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Calculation: </w:t>
      </w:r>
      <w:r>
        <w:rPr>
          <w:sz w:val="24"/>
          <w:szCs w:val="24"/>
          <w:rtl w:val="0"/>
        </w:rPr>
        <w:t xml:space="preserve">ROI = (₱947,000 – ₱283,000) / ₱283,000 = ₱664,000 / ₱283,000 = 234.63%</w:t>
      </w:r>
    </w:p>
    <w:p w:rsidR="00000000" w:rsidDel="00000000" w:rsidP="00000000" w:rsidRDefault="00000000" w14:paraId="000000f7">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Interpretation: </w:t>
      </w:r>
      <w:r>
        <w:rPr>
          <w:sz w:val="24"/>
          <w:szCs w:val="24"/>
          <w:rtl w:val="0"/>
        </w:rPr>
        <w:t xml:space="preserve">An ROI of 234.63% indicates an outstanding financial return, where net earnings over three years exceed total development and ongoing operating costs by more than 2.3 times.</w:t>
      </w:r>
    </w:p>
    <w:p w:rsidR="00000000" w:rsidDel="00000000" w:rsidP="00000000" w:rsidRDefault="00000000" w14:paraId="000000f8">
      <w:pPr>
        <w:spacing w:before="180" w:after="60" w:line="240" w:lineRule="auto"/>
        <w:ind w:left="360" w:firstLine="0"/>
        <w:rPr>
          <w:b w:val="1"/>
          <w:bCs w:val="1"/>
          <w:sz w:val="24"/>
          <w:szCs w:val="24"/>
        </w:rPr>
      </w:pPr>
      <w:r>
        <w:rPr>
          <w:b w:val="1"/>
          <w:bCs w:val="1"/>
          <w:sz w:val="24"/>
          <w:szCs w:val="24"/>
          <w:rtl w:val="0"/>
        </w:rPr>
        <w:t xml:space="preserve">4.2 Break-Even Point (BEP / Payback Period)</w:t>
      </w:r>
    </w:p>
    <w:p w:rsidR="00000000" w:rsidDel="00000000" w:rsidP="00000000" w:rsidRDefault="00000000" w14:paraId="000000f9">
      <w:pPr>
        <w:spacing w:before="60" w:after="120" w:line="276" w:lineRule="auto"/>
        <w:jc w:val="both"/>
        <w:rPr>
          <w:sz w:val="24"/>
          <w:szCs w:val="24"/>
        </w:rPr>
      </w:pPr>
      <w:r>
        <w:rPr>
          <w:sz w:val="24"/>
          <w:szCs w:val="24"/>
          <w:rtl w:val="0"/>
        </w:rPr>
        <w:t xml:space="preserve">The break-even point calculates the time required to recover the initial project investment from operational net cash flows. Cumulative net cash flow turns positive during Year 1 (2027):</w:t>
      </w:r>
    </w:p>
    <w:p w:rsidR="00000000" w:rsidDel="00000000" w:rsidP="00000000" w:rsidRDefault="00000000" w14:paraId="000000fa">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Formula: </w:t>
      </w:r>
      <w:r>
        <w:rPr>
          <w:sz w:val="24"/>
          <w:szCs w:val="24"/>
          <w:rtl w:val="0"/>
        </w:rPr>
        <w:t xml:space="preserve">BEP = Years of Negative Cash Flow + (That Year's Net Cash Flow – That Year's Cumulative Cash Flow) / That Year's Net Cash Flow</w:t>
      </w:r>
    </w:p>
    <w:p w:rsidR="00000000" w:rsidDel="00000000" w:rsidP="00000000" w:rsidRDefault="00000000" w14:paraId="000000fb">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Calculation: </w:t>
      </w:r>
      <w:r>
        <w:rPr>
          <w:sz w:val="24"/>
          <w:szCs w:val="24"/>
          <w:rtl w:val="0"/>
        </w:rPr>
        <w:t xml:space="preserve">BEP = 0 + (₱232,500 – ₱97,500) / ₱232,500 = ₱135,000 / ₱232,500 = 0.58 years (~6.96 months)</w:t>
      </w:r>
    </w:p>
    <w:p w:rsidR="00000000" w:rsidDel="00000000" w:rsidP="00000000" w:rsidRDefault="00000000" w14:paraId="000000fc">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Interpretation: </w:t>
      </w:r>
      <w:r>
        <w:rPr>
          <w:sz w:val="24"/>
          <w:szCs w:val="24"/>
          <w:rtl w:val="0"/>
        </w:rPr>
        <w:t xml:space="preserve">The initial investment of ₱135,000 is fully recovered in under seven (7) months of live operation, representing minimal financial exposure for the business.</w:t>
      </w:r>
    </w:p>
    <w:p w:rsidR="00000000" w:rsidDel="00000000" w:rsidP="00000000" w:rsidRDefault="00000000" w14:paraId="000000fd">
      <w:pPr>
        <w:spacing w:before="180" w:after="60" w:line="240" w:lineRule="auto"/>
        <w:ind w:left="360" w:firstLine="0"/>
        <w:rPr>
          <w:b w:val="1"/>
          <w:bCs w:val="1"/>
          <w:sz w:val="24"/>
          <w:szCs w:val="24"/>
        </w:rPr>
      </w:pPr>
      <w:r>
        <w:rPr>
          <w:b w:val="1"/>
          <w:bCs w:val="1"/>
          <w:sz w:val="24"/>
          <w:szCs w:val="24"/>
          <w:rtl w:val="0"/>
        </w:rPr>
        <w:t xml:space="preserve">4.3 Net Present Value (NPV)</w:t>
      </w:r>
    </w:p>
    <w:p w:rsidR="00000000" w:rsidDel="00000000" w:rsidP="00000000" w:rsidRDefault="00000000" w14:paraId="000000fe">
      <w:pPr>
        <w:spacing w:before="60" w:after="120" w:line="276" w:lineRule="auto"/>
        <w:jc w:val="both"/>
        <w:rPr>
          <w:sz w:val="24"/>
          <w:szCs w:val="24"/>
        </w:rPr>
      </w:pPr>
      <w:r>
        <w:rPr>
          <w:sz w:val="24"/>
          <w:szCs w:val="24"/>
          <w:rtl w:val="0"/>
        </w:rPr>
        <w:t xml:space="preserve">Net Present Value evaluates project profitability in today's currency terms by applying a 10% annual discount rate to future cash flows:</w:t>
      </w:r>
    </w:p>
    <w:p w:rsidR="00000000" w:rsidDel="00000000" w:rsidP="00000000" w:rsidRDefault="00000000" w14:paraId="000000ff">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Formula: </w:t>
      </w:r>
      <w:r>
        <w:rPr>
          <w:sz w:val="24"/>
          <w:szCs w:val="24"/>
          <w:rtl w:val="0"/>
        </w:rPr>
        <w:t xml:space="preserve">NPV = ∑ PV of Total Benefits – ∑ PV of Total Costs</w:t>
      </w:r>
    </w:p>
    <w:p w:rsidR="00000000" w:rsidDel="00000000" w:rsidP="00000000" w:rsidRDefault="00000000" w14:paraId="00000100">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PV of Benefits: </w:t>
      </w:r>
      <w:r>
        <w:rPr>
          <w:sz w:val="24"/>
          <w:szCs w:val="24"/>
          <w:rtl w:val="0"/>
        </w:rPr>
        <w:t xml:space="preserve">₱0 (Yr 0) + ₱254,545 (Yr 1) + ₱260,331 (Yr 2) + ₱264,463 (Yr 3) = ₱779,339</w:t>
      </w:r>
    </w:p>
    <w:p w:rsidR="00000000" w:rsidDel="00000000" w:rsidP="00000000" w:rsidRDefault="00000000" w14:paraId="00000101">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PV of Costs: </w:t>
      </w:r>
      <w:r>
        <w:rPr>
          <w:sz w:val="24"/>
          <w:szCs w:val="24"/>
          <w:rtl w:val="0"/>
        </w:rPr>
        <w:t xml:space="preserve">₱135,000 (Yr 0) + ₱43,182 (Yr 1) + ₱40,496 (Yr 2) + ₱38,693 (Yr 3) = ₱257,370</w:t>
      </w:r>
    </w:p>
    <w:p w:rsidR="00000000" w:rsidDel="00000000" w:rsidP="00000000" w:rsidRDefault="00000000" w14:paraId="00000102">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Calculation: </w:t>
      </w:r>
      <w:r>
        <w:rPr>
          <w:sz w:val="24"/>
          <w:szCs w:val="24"/>
          <w:rtl w:val="0"/>
        </w:rPr>
        <w:t xml:space="preserve">NPV = ₱779,339 – ₱257,370 = ₱521,968</w:t>
      </w:r>
    </w:p>
    <w:p w:rsidR="00000000" w:rsidDel="00000000" w:rsidP="00000000" w:rsidRDefault="00000000" w14:paraId="00000103">
      <w:pPr>
        <w:spacing w:before="50" w:after="7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Decision Rule: </w:t>
      </w:r>
      <w:r>
        <w:rPr>
          <w:sz w:val="24"/>
          <w:szCs w:val="24"/>
          <w:rtl w:val="0"/>
        </w:rPr>
        <w:t xml:space="preserve">Because NPV (₱521,968) is significantly greater than zero (NPV &gt; 0), the project is economically acceptable and highly lucrative.</w:t>
      </w:r>
    </w:p>
    <w:p w:rsidR="00000000" w:rsidDel="00000000" w:rsidP="00000000" w:rsidRDefault="00000000" w14:paraId="00000104">
      <w:pPr>
        <w:pStyle w:val="Heading2"/>
        <w:keepNext w:val="0"/>
        <w:keepLines w:val="0"/>
        <w:widowControl w:val="0"/>
        <w:spacing w:before="280" w:after="100" w:line="240" w:lineRule="auto"/>
        <w:rPr>
          <w:b w:val="1"/>
          <w:bCs w:val="1"/>
          <w:sz w:val="24"/>
          <w:szCs w:val="24"/>
        </w:rPr>
      </w:pPr>
      <w:r>
        <w:rPr>
          <w:b w:val="1"/>
          <w:bCs w:val="1"/>
          <w:sz w:val="24"/>
          <w:szCs w:val="24"/>
          <w:rtl w:val="0"/>
        </w:rPr>
        <w:t xml:space="preserve">5. Economic Feasibility Conclusion and Recommendation</w:t>
      </w:r>
    </w:p>
    <w:p w:rsidR="00000000" w:rsidDel="00000000" w:rsidP="00000000" w:rsidRDefault="00000000" w14:paraId="00000105">
      <w:pPr>
        <w:spacing w:before="60" w:after="120" w:line="276" w:lineRule="auto"/>
        <w:jc w:val="both"/>
        <w:rPr>
          <w:sz w:val="24"/>
          <w:szCs w:val="24"/>
        </w:rPr>
      </w:pPr>
      <w:r>
        <w:rPr>
          <w:sz w:val="24"/>
          <w:szCs w:val="24"/>
          <w:rtl w:val="0"/>
        </w:rPr>
        <w:t xml:space="preserve">Based on the rigorous economic feasibility analysis conducted, the proposed **Jayraldine's Catering Management System** is overwhelmingly **ECONOMICALLY FEASIBLE and FINANCIALLY SOUND**. With a 3-year ROI of 234.63%, an NPV of ₱521,968 at a 10% discount rate, and a rapid payback period of 0.58 years (~7 months), the project offers exceptional financial returns while solving critical operational bottlenecks. The systems analysis team strongly recommends the project for full development and implementation.</w:t>
      </w:r>
    </w:p>
    <w:sectPr>
      <w:pgSz w:h="1872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