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0" w:before="0" w:line="300" w:lineRule="auto"/>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before="240" w:line="300" w:lineRule="auto"/>
        <w:jc w:val="center"/>
        <w:rPr>
          <w:rFonts w:ascii="Arial" w:cs="Arial" w:eastAsia="Arial" w:hAnsi="Arial"/>
          <w:color w:val="1a365d"/>
        </w:rPr>
      </w:pPr>
      <w:r w:rsidDel="00000000" w:rsidR="00000000" w:rsidRPr="00000000">
        <w:rPr>
          <w:rFonts w:ascii="Arial" w:cs="Arial" w:eastAsia="Arial" w:hAnsi="Arial"/>
          <w:color w:val="1a365d"/>
          <w:rtl w:val="0"/>
        </w:rPr>
        <w:t xml:space="preserve">Manual Técnico: Manejo de Excepciones y Control de Errores en JavaScript</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750" w:line="300" w:lineRule="auto"/>
        <w:jc w:val="center"/>
        <w:rPr>
          <w:rFonts w:ascii="Arial" w:cs="Arial" w:eastAsia="Arial" w:hAnsi="Arial"/>
          <w:color w:val="1a365d"/>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75" w:before="75" w:line="300" w:lineRule="auto"/>
        <w:jc w:val="center"/>
        <w:rPr>
          <w:rFonts w:ascii="Arial" w:cs="Arial" w:eastAsia="Arial" w:hAnsi="Arial"/>
          <w:b w:val="1"/>
          <w:bCs w:val="1"/>
          <w:color w:val="000000"/>
          <w:sz w:val="38"/>
          <w:szCs w:val="38"/>
        </w:rPr>
      </w:pPr>
      <w:r w:rsidDel="00000000" w:rsidR="00000000" w:rsidRPr="00000000">
        <w:rPr>
          <w:rFonts w:ascii="Arial" w:cs="Arial" w:eastAsia="Arial" w:hAnsi="Arial"/>
          <w:b w:val="1"/>
          <w:bCs w:val="1"/>
          <w:color w:val="000000"/>
          <w:sz w:val="38"/>
          <w:szCs w:val="38"/>
          <w:rtl w:val="0"/>
        </w:rPr>
        <w:t xml:space="preserve">Elaborado por: Miguel Adrián Rivera Jaime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75" w:line="300" w:lineRule="auto"/>
        <w:jc w:val="center"/>
        <w:rPr>
          <w:rFonts w:ascii="Arial" w:cs="Arial" w:eastAsia="Arial" w:hAnsi="Arial"/>
          <w:color w:val="4a5568"/>
        </w:rPr>
      </w:pPr>
      <w:r w:rsidDel="00000000" w:rsidR="00000000" w:rsidRPr="00000000">
        <w:rPr>
          <w:rFonts w:ascii="Arial" w:cs="Arial" w:eastAsia="Arial" w:hAnsi="Arial"/>
          <w:color w:val="4a5568"/>
          <w:rtl w:val="0"/>
        </w:rPr>
        <w:t xml:space="preserve">Ingeniería en Sistemas Computacionales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75" w:line="300" w:lineRule="auto"/>
        <w:jc w:val="center"/>
        <w:rPr>
          <w:rFonts w:ascii="Arial" w:cs="Arial" w:eastAsia="Arial" w:hAnsi="Arial"/>
          <w:color w:val="4a5568"/>
        </w:rPr>
      </w:pPr>
      <w:r w:rsidDel="00000000" w:rsidR="00000000" w:rsidRPr="00000000">
        <w:rPr>
          <w:rFonts w:ascii="Arial" w:cs="Arial" w:eastAsia="Arial" w:hAnsi="Arial"/>
          <w:color w:val="4a5568"/>
          <w:rtl w:val="0"/>
        </w:rPr>
        <w:t xml:space="preserve">Instituto Tecnológico Superior de Irapuato (ITESI)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75" w:line="300" w:lineRule="auto"/>
        <w:jc w:val="center"/>
        <w:rPr>
          <w:rFonts w:ascii="Arial" w:cs="Arial" w:eastAsia="Arial" w:hAnsi="Arial"/>
          <w:i w:val="1"/>
          <w:iCs w:val="1"/>
          <w:color w:val="4a5568"/>
        </w:rPr>
      </w:pPr>
      <w:r w:rsidDel="00000000" w:rsidR="00000000" w:rsidRPr="00000000">
        <w:rPr>
          <w:rFonts w:ascii="Arial" w:cs="Arial" w:eastAsia="Arial" w:hAnsi="Arial"/>
          <w:i w:val="1"/>
          <w:iCs w:val="1"/>
          <w:color w:val="4a5568"/>
          <w:rtl w:val="0"/>
        </w:rPr>
        <w:t xml:space="preserve">Documentación Técnica - Reporte de Servicio Social</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pict>
          <v:rect style="width:0.0pt;height:1.5pt" o:hr="t" o:hrstd="t" o:hralign="center" fillcolor="#A0A0A0" stroked="f"/>
        </w:pict>
      </w:r>
      <w:r w:rsidDel="00000000" w:rsidR="00000000" w:rsidRPr="00000000">
        <w:rPr>
          <w:rFonts w:ascii="Arial" w:cs="Arial" w:eastAsia="Arial" w:hAnsi="Arial"/>
          <w:b w:val="1"/>
          <w:bCs w:val="1"/>
          <w:color w:val="000000"/>
          <w:rtl w:val="0"/>
        </w:rPr>
        <w:t xml:space="preserve">Resumen Ejecutivo:</w:t>
      </w:r>
      <w:r w:rsidDel="00000000" w:rsidR="00000000" w:rsidRPr="00000000">
        <w:rPr>
          <w:rFonts w:ascii="Arial" w:cs="Arial" w:eastAsia="Arial" w:hAnsi="Arial"/>
          <w:color w:val="000000"/>
          <w:rtl w:val="0"/>
        </w:rPr>
        <w:t xml:space="preserve"> Este documento técnico aborda la implementación de mecanismos de control de flujo para el manejo de excepciones en JavaScript mediante la estructura try/catch/finally. Se analiza su integración con operaciones asíncronas y el consumo de interfaces de programación de aplicaciones (APIs), diferenciando las fallas a nivel de red de las anomalías en los datos recibidos, con el objetivo de garantizar la resiliencia y la estabilidad del software en entornos de producción.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1. El Problema de las Excepciones No Controladas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En la ingeniería de software, las excepciones representan eventos anómalos que interrumpen el flujo normal de ejecución de un programa. En el entorno de ejecución de JavaScript, si un error no es capturado y manejado explícitamente, el hilo de ejecución (Main Thread) se detiene de forma abrupta en el punto de fallo. Esto resulta en una interrupción total del servicio para el usuario final, dejando la interfaz de usuario (UI) en un estado inconsistente, congelada o mostrando indicadores de carga que nunca finalizan. El manejo adecuado de errores prevé estos escenarios, permitiendo al sistema recuperarse de forma controlada (Graceful Degradation) o notificar al usuario adecuadamente sin colapsar la aplicación completa.</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0D">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2. Sintaxis y Arquitectura del Bloque try/catch/finally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La estructura de control de excepciones se divide en tres bloques fundamentales, cada uno con una responsabilidad arquitectónica específica:</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spacing w:after="0" w:afterAutospacing="0" w:line="300" w:lineRule="auto"/>
        <w:ind w:left="600" w:hanging="360"/>
      </w:pPr>
      <w:r w:rsidDel="00000000" w:rsidR="00000000" w:rsidRPr="00000000">
        <w:rPr>
          <w:rFonts w:ascii="Arial" w:cs="Arial" w:eastAsia="Arial" w:hAnsi="Arial"/>
          <w:b w:val="1"/>
          <w:bCs w:val="1"/>
          <w:color w:val="000000"/>
          <w:rtl w:val="0"/>
        </w:rPr>
        <w:t xml:space="preserve">Bloque try:</w:t>
      </w:r>
      <w:r w:rsidDel="00000000" w:rsidR="00000000" w:rsidRPr="00000000">
        <w:rPr>
          <w:rFonts w:ascii="Arial" w:cs="Arial" w:eastAsia="Arial" w:hAnsi="Arial"/>
          <w:color w:val="000000"/>
          <w:rtl w:val="0"/>
        </w:rPr>
        <w:t xml:space="preserve"> Encapsula el segmento de código susceptible a generar excepciones. El motor de JavaScript monitorea la ejecución de las instrucciones contenidas aquí.</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300" w:lineRule="auto"/>
        <w:ind w:left="600" w:hanging="360"/>
      </w:pPr>
      <w:r w:rsidDel="00000000" w:rsidR="00000000" w:rsidRPr="00000000">
        <w:rPr>
          <w:rFonts w:ascii="Arial" w:cs="Arial" w:eastAsia="Arial" w:hAnsi="Arial"/>
          <w:b w:val="1"/>
          <w:bCs w:val="1"/>
          <w:color w:val="000000"/>
          <w:rtl w:val="0"/>
        </w:rPr>
        <w:t xml:space="preserve">Bloque catch:</w:t>
      </w:r>
      <w:r w:rsidDel="00000000" w:rsidR="00000000" w:rsidRPr="00000000">
        <w:rPr>
          <w:rFonts w:ascii="Arial" w:cs="Arial" w:eastAsia="Arial" w:hAnsi="Arial"/>
          <w:color w:val="000000"/>
          <w:rtl w:val="0"/>
        </w:rPr>
        <w:t xml:space="preserve"> Actúa como un interceptor. Si ocurre un fallo crítico dentro del bloque try, el control de flujo se transfiere inmediatamente a este bloque, recibiendo un objeto Error que contiene los metadatos de la falla (como el mensaje descriptivo y la traza de la pila o stack trace).</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150" w:before="0" w:beforeAutospacing="0" w:line="300" w:lineRule="auto"/>
        <w:ind w:left="600" w:hanging="360"/>
      </w:pPr>
      <w:r w:rsidDel="00000000" w:rsidR="00000000" w:rsidRPr="00000000">
        <w:rPr>
          <w:rFonts w:ascii="Arial" w:cs="Arial" w:eastAsia="Arial" w:hAnsi="Arial"/>
          <w:b w:val="1"/>
          <w:bCs w:val="1"/>
          <w:color w:val="000000"/>
          <w:rtl w:val="0"/>
        </w:rPr>
        <w:t xml:space="preserve">Bloque finally:</w:t>
      </w:r>
      <w:r w:rsidDel="00000000" w:rsidR="00000000" w:rsidRPr="00000000">
        <w:rPr>
          <w:rFonts w:ascii="Arial" w:cs="Arial" w:eastAsia="Arial" w:hAnsi="Arial"/>
          <w:color w:val="000000"/>
          <w:rtl w:val="0"/>
        </w:rPr>
        <w:t xml:space="preserve"> Es un segmento de ejecución garantizada. Independientemente de si la operación tuvo éxito o si se lanzó una excepción, este bloque siempre se ejecutará al final. Es crítico para la liberación de recursos, cierre de conexiones o la finalización de estados de carga (por ejemplo, ocultar un indicador visual de "cargando").</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25" w:before="22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13">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3. Integración con Operaciones Asíncronas (async/await)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En el paradigma asíncrono moderno, el consumo de recursos externos (como llamadas a una API) se gestiona utilizando Promesas. La sintaxis async/await permite escribir código asíncrono con una estructura que emula la secuencialidad síncrona. Al encapsular las sentencias await dentro de un bloque try/catch, se centraliza la captura de rechazos (rejections) de las Promesas, manteniendo el código limpio, legible y libre del anidamiento excesivo de callbacks funcionales (el antipatrón conocido como callback hell).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16">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4. Tipología de Fallos: Errores de Red vs. Errores de Protocolo (Datos)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Al consumir una API mediante la API nativa fetch, es un error arquitectónico común asumir que cualquier falla detonará el bloque catch automáticamente. Es fundamental para el ingeniero distinguir entre dos capas de errores:</w:t>
      </w:r>
    </w:p>
    <w:tbl>
      <w:tblPr>
        <w:tblStyle w:val="Table1"/>
        <w:tblW w:w="9360.0" w:type="dxa"/>
        <w:jc w:val="left"/>
        <w:tblBorders>
          <w:top w:color="cbd5e0" w:space="0" w:sz="6" w:val="single"/>
          <w:left w:color="cbd5e0" w:space="0" w:sz="6" w:val="single"/>
          <w:bottom w:color="cbd5e0" w:space="0" w:sz="6" w:val="single"/>
          <w:right w:color="cbd5e0" w:space="0" w:sz="6" w:val="single"/>
          <w:insideH w:color="cbd5e0" w:space="0" w:sz="6" w:val="single"/>
          <w:insideV w:color="cbd5e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cbd5e0" w:space="0" w:sz="6" w:val="single"/>
              <w:left w:color="cbd5e0" w:space="0" w:sz="6" w:val="single"/>
              <w:bottom w:color="cbd5e0" w:space="0" w:sz="6" w:val="single"/>
              <w:right w:color="cbd5e0" w:space="0" w:sz="6" w:val="single"/>
            </w:tcBorders>
            <w:shd w:fill="f7fafc" w:val="clear"/>
            <w:tcMar>
              <w:top w:w="180.0" w:type="dxa"/>
              <w:left w:w="180.0" w:type="dxa"/>
              <w:bottom w:w="18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shd w:fill="auto" w:val="clear"/>
              </w:rPr>
            </w:pPr>
            <w:r w:rsidDel="00000000" w:rsidR="00000000" w:rsidRPr="00000000">
              <w:rPr>
                <w:rFonts w:ascii="Arial" w:cs="Arial" w:eastAsia="Arial" w:hAnsi="Arial"/>
                <w:b w:val="1"/>
                <w:bCs w:val="1"/>
                <w:color w:val="000000"/>
                <w:shd w:fill="auto" w:val="clear"/>
                <w:rtl w:val="0"/>
              </w:rPr>
              <w:t xml:space="preserve">Tipo de Error</w:t>
            </w:r>
          </w:p>
        </w:tc>
        <w:tc>
          <w:tcPr>
            <w:tcBorders>
              <w:top w:color="cbd5e0" w:space="0" w:sz="6" w:val="single"/>
              <w:left w:color="cbd5e0" w:space="0" w:sz="6" w:val="single"/>
              <w:bottom w:color="cbd5e0" w:space="0" w:sz="6" w:val="single"/>
              <w:right w:color="cbd5e0" w:space="0" w:sz="6" w:val="single"/>
            </w:tcBorders>
            <w:shd w:fill="f7fafc" w:val="clear"/>
            <w:tcMar>
              <w:top w:w="180.0" w:type="dxa"/>
              <w:left w:w="180.0" w:type="dxa"/>
              <w:bottom w:w="18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shd w:fill="auto" w:val="clear"/>
              </w:rPr>
            </w:pPr>
            <w:r w:rsidDel="00000000" w:rsidR="00000000" w:rsidRPr="00000000">
              <w:rPr>
                <w:rFonts w:ascii="Arial" w:cs="Arial" w:eastAsia="Arial" w:hAnsi="Arial"/>
                <w:b w:val="1"/>
                <w:bCs w:val="1"/>
                <w:color w:val="000000"/>
                <w:shd w:fill="auto" w:val="clear"/>
                <w:rtl w:val="0"/>
              </w:rPr>
              <w:t xml:space="preserve">Causa y Comportamiento</w:t>
            </w:r>
          </w:p>
        </w:tc>
        <w:tc>
          <w:tcPr>
            <w:tcBorders>
              <w:top w:color="cbd5e0" w:space="0" w:sz="6" w:val="single"/>
              <w:left w:color="cbd5e0" w:space="0" w:sz="6" w:val="single"/>
              <w:bottom w:color="cbd5e0" w:space="0" w:sz="6" w:val="single"/>
              <w:right w:color="cbd5e0" w:space="0" w:sz="6" w:val="single"/>
            </w:tcBorders>
            <w:shd w:fill="f7fafc" w:val="clear"/>
            <w:tcMar>
              <w:top w:w="180.0" w:type="dxa"/>
              <w:left w:w="180.0" w:type="dxa"/>
              <w:bottom w:w="18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shd w:fill="auto" w:val="clear"/>
              </w:rPr>
            </w:pPr>
            <w:r w:rsidDel="00000000" w:rsidR="00000000" w:rsidRPr="00000000">
              <w:rPr>
                <w:rFonts w:ascii="Arial" w:cs="Arial" w:eastAsia="Arial" w:hAnsi="Arial"/>
                <w:b w:val="1"/>
                <w:bCs w:val="1"/>
                <w:color w:val="000000"/>
                <w:shd w:fill="auto" w:val="clear"/>
                <w:rtl w:val="0"/>
              </w:rPr>
              <w:t xml:space="preserve">Manejo Técnico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Errores de Red (Network Errors)</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Ocurren a nivel de infraestructura física o políticas: pérdida de conexión a internet del cliente, fallas de resolución DNS del servidor, o bloqueos estrictos por políticas CORS.</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La promesa de fetch es rechazada de inmediato. El flujo salta directamente al bloque catch.</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Errores de Datos / Protocolo (HTTP Errors)</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La comunicación física se logró satisfactoriamente, pero el servidor responde con códigos de estado HTTP que indican un fallo lógico (ej. 404 No Encontrado, 500 Error Interno del Servidor).</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La promesa de fetch </w:t>
            </w:r>
            <w:r w:rsidDel="00000000" w:rsidR="00000000" w:rsidRPr="00000000">
              <w:rPr>
                <w:rFonts w:ascii="Arial" w:cs="Arial" w:eastAsia="Arial" w:hAnsi="Arial"/>
                <w:b w:val="1"/>
                <w:bCs w:val="1"/>
                <w:color w:val="000000"/>
                <w:rtl w:val="0"/>
              </w:rPr>
              <w:t xml:space="preserve">se resuelve exitosamente</w:t>
            </w:r>
            <w:r w:rsidDel="00000000" w:rsidR="00000000" w:rsidRPr="00000000">
              <w:rPr>
                <w:rFonts w:ascii="Arial" w:cs="Arial" w:eastAsia="Arial" w:hAnsi="Arial"/>
                <w:color w:val="000000"/>
                <w:rtl w:val="0"/>
              </w:rPr>
              <w:t xml:space="preserve">. El bloque catch NO se dispara automáticamente. Se debe validar explícitamente la propiedad response.ok y, de ser falsa, lanzar una excepción manualmente (throw new Error(...)) para forzar la entrada al catch.</w:t>
            </w:r>
          </w:p>
        </w:tc>
      </w:tr>
    </w:tbl>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25" w:before="37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5. Conclusión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El dominio del bloque try/catch/finally y la correcta evaluación de los objetos de respuesta HTTP son imperativos para el desarrollo de software tolerante a fallos. La implementación rigurosa de estos mecanismos asegura que el sistema informe al usuario de manera transparente sobre anomalías, garantizando la estabilidad operativa, evitando la exposición de detalles técnicos sensibles (stack traces en producción) y previniendo la interrupción abrupta de las operaciones en curso.</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