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E3FDC" w14:textId="77777777" w:rsidR="002A3865" w:rsidRPr="00183D98" w:rsidRDefault="00000000" w:rsidP="00183D98">
      <w:pPr>
        <w:pStyle w:val="Ttulo"/>
        <w:rPr>
          <w:lang w:val="es-MX"/>
        </w:rPr>
      </w:pPr>
      <w:r w:rsidRPr="00183D98">
        <w:rPr>
          <w:lang w:val="es-MX"/>
        </w:rPr>
        <w:t>Variables de Entorno y Manejo Seguro de Configuraciones en Vite</w:t>
      </w:r>
    </w:p>
    <w:p w14:paraId="76492A1D" w14:textId="77777777" w:rsidR="002A3865" w:rsidRPr="00183D98" w:rsidRDefault="00000000" w:rsidP="00183D98">
      <w:pPr>
        <w:pStyle w:val="Ttulo1"/>
        <w:rPr>
          <w:lang w:val="es-MX"/>
        </w:rPr>
      </w:pPr>
      <w:r w:rsidRPr="00183D98">
        <w:rPr>
          <w:lang w:val="es-MX"/>
        </w:rPr>
        <w:t>Introducción</w:t>
      </w:r>
    </w:p>
    <w:p w14:paraId="6FE18142" w14:textId="77777777" w:rsidR="002A3865" w:rsidRPr="00183D98" w:rsidRDefault="00000000">
      <w:pPr>
        <w:rPr>
          <w:lang w:val="es-MX"/>
        </w:rPr>
      </w:pPr>
      <w:r w:rsidRPr="00183D98">
        <w:rPr>
          <w:lang w:val="es-MX"/>
        </w:rPr>
        <w:t xml:space="preserve">Las aplicaciones modernas dependen de múltiples configuraciones que cambian según el entorno donde se ejecutan: direcciones de </w:t>
      </w:r>
      <w:proofErr w:type="spellStart"/>
      <w:r w:rsidRPr="00183D98">
        <w:rPr>
          <w:lang w:val="es-MX"/>
        </w:rPr>
        <w:t>APIs</w:t>
      </w:r>
      <w:proofErr w:type="spellEnd"/>
      <w:r w:rsidRPr="00183D98">
        <w:rPr>
          <w:lang w:val="es-MX"/>
        </w:rPr>
        <w:t>, modos de depuración, servicios externos, banderas de funcionalidad y parámetros de despliegue. Incluir estos valores directamente en el código fuente produce acoplamiento, dificulta la automatización y aumenta el riesgo de errores durante el paso de desarrollo a producción. Las variables de entorno permiten separar la configuración del comportamiento de la aplicación.</w:t>
      </w:r>
    </w:p>
    <w:p w14:paraId="3928C261" w14:textId="77777777" w:rsidR="002A3865" w:rsidRPr="00183D98" w:rsidRDefault="00000000">
      <w:pPr>
        <w:rPr>
          <w:lang w:val="es-MX"/>
        </w:rPr>
      </w:pPr>
      <w:r w:rsidRPr="00183D98">
        <w:rPr>
          <w:lang w:val="es-MX"/>
        </w:rPr>
        <w:t xml:space="preserve">En Vite, el manejo de variables de entorno incorpora una decisión de seguridad importante: el código </w:t>
      </w:r>
      <w:proofErr w:type="spellStart"/>
      <w:r w:rsidRPr="00183D98">
        <w:rPr>
          <w:lang w:val="es-MX"/>
        </w:rPr>
        <w:t>frontend</w:t>
      </w:r>
      <w:proofErr w:type="spellEnd"/>
      <w:r w:rsidRPr="00183D98">
        <w:rPr>
          <w:lang w:val="es-MX"/>
        </w:rPr>
        <w:t xml:space="preserve"> termina ejecutándose en el navegador y, por tanto, no puede tratarse como un entorno secreto. Vite expone al cliente únicamente las variables que cumplen la convención VITE_. Esta regla ayuda a evitar filtraciones accidentales, pero no convierte una variable en segura ni oculta su valor si se incluye en el </w:t>
      </w:r>
      <w:proofErr w:type="spellStart"/>
      <w:r w:rsidRPr="00183D98">
        <w:rPr>
          <w:lang w:val="es-MX"/>
        </w:rPr>
        <w:t>bundle</w:t>
      </w:r>
      <w:proofErr w:type="spellEnd"/>
      <w:r w:rsidRPr="00183D98">
        <w:rPr>
          <w:lang w:val="es-MX"/>
        </w:rPr>
        <w:t xml:space="preserve"> final. Este reporte explica el funcionamiento del sistema y las prácticas recomendadas para mantener configuraciones seguras y mantenibles.</w:t>
      </w:r>
    </w:p>
    <w:p w14:paraId="6BB5D163" w14:textId="77777777" w:rsidR="002A3865" w:rsidRPr="00183D98" w:rsidRDefault="00000000" w:rsidP="00183D98">
      <w:pPr>
        <w:pStyle w:val="Ttulo2"/>
        <w:rPr>
          <w:lang w:val="es-MX"/>
        </w:rPr>
      </w:pPr>
      <w:r w:rsidRPr="00183D98">
        <w:rPr>
          <w:lang w:val="es-MX"/>
        </w:rPr>
        <w:t>1. Concepto y Propósito de las Variables de Entorno</w:t>
      </w:r>
    </w:p>
    <w:p w14:paraId="392EAE1D" w14:textId="77777777" w:rsidR="002A3865" w:rsidRPr="00183D98" w:rsidRDefault="00000000" w:rsidP="00183D98">
      <w:pPr>
        <w:pStyle w:val="Ttulo3"/>
        <w:rPr>
          <w:lang w:val="es-MX"/>
        </w:rPr>
      </w:pPr>
      <w:r w:rsidRPr="00183D98">
        <w:rPr>
          <w:lang w:val="es-MX"/>
        </w:rPr>
        <w:t>1.1 ¿Qué es una variable de entorno?</w:t>
      </w:r>
    </w:p>
    <w:p w14:paraId="4EDA5EC8" w14:textId="77777777" w:rsidR="002A3865" w:rsidRPr="00183D98" w:rsidRDefault="00000000">
      <w:pPr>
        <w:rPr>
          <w:lang w:val="es-MX"/>
        </w:rPr>
      </w:pPr>
      <w:r w:rsidRPr="00183D98">
        <w:rPr>
          <w:lang w:val="es-MX"/>
        </w:rPr>
        <w:t>Una variable de entorno es un valor de configuración externo al código de negocio que puede variar entre máquinas, etapas del ciclo de vida o despliegues. Su propósito es permitir que la misma base de código se comporte de forma distinta según el contexto en el que se construye o ejecuta.</w:t>
      </w:r>
    </w:p>
    <w:p w14:paraId="2A730D1A" w14:textId="77777777" w:rsidR="002A3865" w:rsidRPr="00183D98" w:rsidRDefault="00000000">
      <w:pPr>
        <w:rPr>
          <w:lang w:val="es-MX"/>
        </w:rPr>
      </w:pPr>
      <w:r w:rsidRPr="00183D98">
        <w:rPr>
          <w:lang w:val="es-MX"/>
        </w:rPr>
        <w:t xml:space="preserve">En una arquitectura típica existen, al menos, entornos de desarrollo, </w:t>
      </w:r>
      <w:proofErr w:type="spellStart"/>
      <w:r w:rsidRPr="00183D98">
        <w:rPr>
          <w:lang w:val="es-MX"/>
        </w:rPr>
        <w:t>staging</w:t>
      </w:r>
      <w:proofErr w:type="spellEnd"/>
      <w:r w:rsidRPr="00183D98">
        <w:rPr>
          <w:lang w:val="es-MX"/>
        </w:rPr>
        <w:t xml:space="preserve"> y producción. El código puede ser prácticamente idéntico entre ellos, mientras que la configuración cambia. Por ejemplo, una aplicación puede consultar un servidor local durante el desarrollo, una infraestructura de pruebas en </w:t>
      </w:r>
      <w:proofErr w:type="spellStart"/>
      <w:r w:rsidRPr="00183D98">
        <w:rPr>
          <w:lang w:val="es-MX"/>
        </w:rPr>
        <w:t>staging</w:t>
      </w:r>
      <w:proofErr w:type="spellEnd"/>
      <w:r w:rsidRPr="00183D98">
        <w:rPr>
          <w:lang w:val="es-MX"/>
        </w:rPr>
        <w:t xml:space="preserve"> y un dominio definitivo en producción.</w:t>
      </w:r>
    </w:p>
    <w:tbl>
      <w:tblPr>
        <w:tblW w:w="0" w:type="auto"/>
        <w:jc w:val="center"/>
        <w:tblLook w:val="04A0" w:firstRow="1" w:lastRow="0" w:firstColumn="1" w:lastColumn="0" w:noHBand="0" w:noVBand="1"/>
      </w:tblPr>
      <w:tblGrid>
        <w:gridCol w:w="10080"/>
      </w:tblGrid>
      <w:tr w:rsidR="002A3865" w:rsidRPr="005F6033" w14:paraId="62F42B85" w14:textId="77777777">
        <w:trPr>
          <w:jc w:val="center"/>
        </w:trPr>
        <w:tc>
          <w:tcPr>
            <w:tcW w:w="10080" w:type="dxa"/>
            <w:shd w:val="clear" w:color="auto" w:fill="F3F4F6"/>
          </w:tcPr>
          <w:p w14:paraId="1ACA6E3F" w14:textId="77777777" w:rsidR="002A3865" w:rsidRPr="00183D98" w:rsidRDefault="00000000">
            <w:pPr>
              <w:spacing w:before="60" w:after="60"/>
              <w:rPr>
                <w:lang w:val="es-MX"/>
              </w:rPr>
            </w:pPr>
            <w:r w:rsidRPr="00183D98">
              <w:rPr>
                <w:rFonts w:ascii="Consolas" w:hAnsi="Consolas"/>
                <w:sz w:val="17"/>
                <w:lang w:val="es-MX"/>
              </w:rPr>
              <w:t># Desarrollo</w:t>
            </w:r>
            <w:r w:rsidRPr="00183D98">
              <w:rPr>
                <w:rFonts w:ascii="Consolas" w:hAnsi="Consolas"/>
                <w:sz w:val="17"/>
                <w:lang w:val="es-MX"/>
              </w:rPr>
              <w:br/>
              <w:t>VITE_API_URL=http://localhost:3000</w:t>
            </w:r>
            <w:r w:rsidRPr="00183D98">
              <w:rPr>
                <w:rFonts w:ascii="Consolas" w:hAnsi="Consolas"/>
                <w:sz w:val="17"/>
                <w:lang w:val="es-MX"/>
              </w:rPr>
              <w:br/>
            </w:r>
            <w:r w:rsidRPr="00183D98">
              <w:rPr>
                <w:rFonts w:ascii="Consolas" w:hAnsi="Consolas"/>
                <w:sz w:val="17"/>
                <w:lang w:val="es-MX"/>
              </w:rPr>
              <w:br/>
              <w:t xml:space="preserve"># </w:t>
            </w:r>
            <w:proofErr w:type="spellStart"/>
            <w:r w:rsidRPr="00183D98">
              <w:rPr>
                <w:rFonts w:ascii="Consolas" w:hAnsi="Consolas"/>
                <w:sz w:val="17"/>
                <w:lang w:val="es-MX"/>
              </w:rPr>
              <w:t>Staging</w:t>
            </w:r>
            <w:proofErr w:type="spellEnd"/>
            <w:r w:rsidRPr="00183D98">
              <w:rPr>
                <w:rFonts w:ascii="Consolas" w:hAnsi="Consolas"/>
                <w:sz w:val="17"/>
                <w:lang w:val="es-MX"/>
              </w:rPr>
              <w:br/>
              <w:t>VITE_API_URL=https://api-staging.ejemplo.com</w:t>
            </w:r>
            <w:r w:rsidRPr="00183D98">
              <w:rPr>
                <w:rFonts w:ascii="Consolas" w:hAnsi="Consolas"/>
                <w:sz w:val="17"/>
                <w:lang w:val="es-MX"/>
              </w:rPr>
              <w:br/>
            </w:r>
            <w:r w:rsidRPr="00183D98">
              <w:rPr>
                <w:rFonts w:ascii="Consolas" w:hAnsi="Consolas"/>
                <w:sz w:val="17"/>
                <w:lang w:val="es-MX"/>
              </w:rPr>
              <w:br/>
              <w:t># Producción</w:t>
            </w:r>
            <w:r w:rsidRPr="00183D98">
              <w:rPr>
                <w:rFonts w:ascii="Consolas" w:hAnsi="Consolas"/>
                <w:sz w:val="17"/>
                <w:lang w:val="es-MX"/>
              </w:rPr>
              <w:br/>
              <w:t>VITE_API_URL=https://api.ejemplo.com</w:t>
            </w:r>
          </w:p>
        </w:tc>
      </w:tr>
    </w:tbl>
    <w:p w14:paraId="4C3675D7" w14:textId="77777777" w:rsidR="002A3865" w:rsidRPr="00183D98" w:rsidRDefault="002A3865">
      <w:pPr>
        <w:rPr>
          <w:lang w:val="es-MX"/>
        </w:rPr>
      </w:pPr>
    </w:p>
    <w:p w14:paraId="6053A1DB" w14:textId="77777777" w:rsidR="002A3865" w:rsidRPr="00183D98" w:rsidRDefault="00000000" w:rsidP="00183D98">
      <w:pPr>
        <w:pStyle w:val="Ttulo3"/>
        <w:rPr>
          <w:lang w:val="es-MX"/>
        </w:rPr>
      </w:pPr>
      <w:r w:rsidRPr="00183D98">
        <w:rPr>
          <w:lang w:val="es-MX"/>
        </w:rPr>
        <w:t>1.2 Desacoplamiento entre código y configuración</w:t>
      </w:r>
    </w:p>
    <w:p w14:paraId="037525DB" w14:textId="77777777" w:rsidR="002A3865" w:rsidRPr="00183D98" w:rsidRDefault="00000000">
      <w:pPr>
        <w:rPr>
          <w:lang w:val="es-MX"/>
        </w:rPr>
      </w:pPr>
      <w:r w:rsidRPr="00183D98">
        <w:rPr>
          <w:lang w:val="es-MX"/>
        </w:rPr>
        <w:t>Separar la configuración del código fuente reduce la necesidad de editar componentes o módulos cada vez que cambia un parámetro de despliegue. La lógica puede consumir una configuración abstracta y el proceso de construcción selecciona los valores adecuados para cada entorno.</w:t>
      </w:r>
    </w:p>
    <w:p w14:paraId="4039E720" w14:textId="77777777" w:rsidR="002A3865" w:rsidRPr="00183D98" w:rsidRDefault="00000000">
      <w:pPr>
        <w:pStyle w:val="Listaconvietas"/>
        <w:rPr>
          <w:lang w:val="es-MX"/>
        </w:rPr>
      </w:pPr>
      <w:r w:rsidRPr="00183D98">
        <w:rPr>
          <w:b/>
          <w:lang w:val="es-MX"/>
        </w:rPr>
        <w:t xml:space="preserve">Portabilidad: </w:t>
      </w:r>
      <w:r w:rsidRPr="00183D98">
        <w:rPr>
          <w:lang w:val="es-MX"/>
        </w:rPr>
        <w:t>La aplicación puede ejecutarse en distintos equipos y plataformas sin modificar el código.</w:t>
      </w:r>
    </w:p>
    <w:p w14:paraId="086482AE" w14:textId="77777777" w:rsidR="002A3865" w:rsidRPr="00183D98" w:rsidRDefault="00000000">
      <w:pPr>
        <w:pStyle w:val="Listaconvietas"/>
        <w:rPr>
          <w:lang w:val="es-MX"/>
        </w:rPr>
      </w:pPr>
      <w:r w:rsidRPr="00183D98">
        <w:rPr>
          <w:b/>
          <w:lang w:val="es-MX"/>
        </w:rPr>
        <w:t xml:space="preserve">Mantenibilidad: </w:t>
      </w:r>
      <w:r w:rsidRPr="00183D98">
        <w:rPr>
          <w:lang w:val="es-MX"/>
        </w:rPr>
        <w:t>Las diferencias entre entornos se concentran en archivos o sistemas de configuración.</w:t>
      </w:r>
    </w:p>
    <w:p w14:paraId="12F60EB4" w14:textId="77777777" w:rsidR="002A3865" w:rsidRPr="00183D98" w:rsidRDefault="00000000">
      <w:pPr>
        <w:pStyle w:val="Listaconvietas"/>
        <w:rPr>
          <w:lang w:val="es-MX"/>
        </w:rPr>
      </w:pPr>
      <w:r w:rsidRPr="00183D98">
        <w:rPr>
          <w:b/>
          <w:lang w:val="es-MX"/>
        </w:rPr>
        <w:t xml:space="preserve">Automatización: </w:t>
      </w:r>
      <w:r w:rsidRPr="00183D98">
        <w:rPr>
          <w:lang w:val="es-MX"/>
        </w:rPr>
        <w:t xml:space="preserve">Los pipelines de CI/CD pueden inyectar valores específicos durante el </w:t>
      </w:r>
      <w:proofErr w:type="spellStart"/>
      <w:r w:rsidRPr="00183D98">
        <w:rPr>
          <w:lang w:val="es-MX"/>
        </w:rPr>
        <w:t>build</w:t>
      </w:r>
      <w:proofErr w:type="spellEnd"/>
      <w:r w:rsidRPr="00183D98">
        <w:rPr>
          <w:lang w:val="es-MX"/>
        </w:rPr>
        <w:t xml:space="preserve"> o despliegue.</w:t>
      </w:r>
    </w:p>
    <w:p w14:paraId="049EB96E" w14:textId="77777777" w:rsidR="002A3865" w:rsidRPr="00183D98" w:rsidRDefault="00000000">
      <w:pPr>
        <w:pStyle w:val="Listaconvietas"/>
        <w:rPr>
          <w:lang w:val="es-MX"/>
        </w:rPr>
      </w:pPr>
      <w:r w:rsidRPr="00183D98">
        <w:rPr>
          <w:b/>
          <w:lang w:val="es-MX"/>
        </w:rPr>
        <w:lastRenderedPageBreak/>
        <w:t xml:space="preserve">Reducción de errores: </w:t>
      </w:r>
      <w:r w:rsidRPr="00183D98">
        <w:rPr>
          <w:lang w:val="es-MX"/>
        </w:rPr>
        <w:t xml:space="preserve">Se evita cambiar manualmente </w:t>
      </w:r>
      <w:proofErr w:type="spellStart"/>
      <w:r w:rsidRPr="00183D98">
        <w:rPr>
          <w:lang w:val="es-MX"/>
        </w:rPr>
        <w:t>URLs</w:t>
      </w:r>
      <w:proofErr w:type="spellEnd"/>
      <w:r w:rsidRPr="00183D98">
        <w:rPr>
          <w:lang w:val="es-MX"/>
        </w:rPr>
        <w:t xml:space="preserve"> o parámetros antes de publicar una versión.</w:t>
      </w:r>
    </w:p>
    <w:p w14:paraId="583C609D" w14:textId="77777777" w:rsidR="002A3865" w:rsidRDefault="00000000" w:rsidP="00183D98">
      <w:pPr>
        <w:pStyle w:val="Ttulo3"/>
      </w:pPr>
      <w:r>
        <w:t xml:space="preserve">1.3 Casos de </w:t>
      </w:r>
      <w:proofErr w:type="spellStart"/>
      <w:r>
        <w:t>uso</w:t>
      </w:r>
      <w:proofErr w:type="spellEnd"/>
      <w:r>
        <w:t xml:space="preserve"> </w:t>
      </w:r>
      <w:proofErr w:type="spellStart"/>
      <w:r>
        <w:t>típicos</w:t>
      </w:r>
      <w:proofErr w:type="spellEnd"/>
    </w:p>
    <w:p w14:paraId="1F5354F5" w14:textId="77777777" w:rsidR="002A3865" w:rsidRPr="00183D98" w:rsidRDefault="00000000">
      <w:pPr>
        <w:pStyle w:val="Listaconvietas"/>
        <w:rPr>
          <w:lang w:val="es-MX"/>
        </w:rPr>
      </w:pPr>
      <w:proofErr w:type="spellStart"/>
      <w:r w:rsidRPr="00183D98">
        <w:rPr>
          <w:lang w:val="es-MX"/>
        </w:rPr>
        <w:t>URLs</w:t>
      </w:r>
      <w:proofErr w:type="spellEnd"/>
      <w:r w:rsidRPr="00183D98">
        <w:rPr>
          <w:lang w:val="es-MX"/>
        </w:rPr>
        <w:t xml:space="preserve"> base de </w:t>
      </w:r>
      <w:proofErr w:type="spellStart"/>
      <w:r w:rsidRPr="00183D98">
        <w:rPr>
          <w:lang w:val="es-MX"/>
        </w:rPr>
        <w:t>APIs</w:t>
      </w:r>
      <w:proofErr w:type="spellEnd"/>
      <w:r w:rsidRPr="00183D98">
        <w:rPr>
          <w:lang w:val="es-MX"/>
        </w:rPr>
        <w:t xml:space="preserve"> y servicios: desarrollo, </w:t>
      </w:r>
      <w:proofErr w:type="spellStart"/>
      <w:r w:rsidRPr="00183D98">
        <w:rPr>
          <w:lang w:val="es-MX"/>
        </w:rPr>
        <w:t>staging</w:t>
      </w:r>
      <w:proofErr w:type="spellEnd"/>
      <w:r w:rsidRPr="00183D98">
        <w:rPr>
          <w:lang w:val="es-MX"/>
        </w:rPr>
        <w:t>, producción o regiones.</w:t>
      </w:r>
    </w:p>
    <w:p w14:paraId="5AEF0063" w14:textId="77777777" w:rsidR="002A3865" w:rsidRPr="00183D98" w:rsidRDefault="00000000">
      <w:pPr>
        <w:pStyle w:val="Listaconvietas"/>
        <w:rPr>
          <w:lang w:val="es-MX"/>
        </w:rPr>
      </w:pPr>
      <w:proofErr w:type="spellStart"/>
      <w:r w:rsidRPr="00183D98">
        <w:rPr>
          <w:lang w:val="es-MX"/>
        </w:rPr>
        <w:t>Feature</w:t>
      </w:r>
      <w:proofErr w:type="spellEnd"/>
      <w:r w:rsidRPr="00183D98">
        <w:rPr>
          <w:lang w:val="es-MX"/>
        </w:rPr>
        <w:t xml:space="preserve"> </w:t>
      </w:r>
      <w:proofErr w:type="spellStart"/>
      <w:r w:rsidRPr="00183D98">
        <w:rPr>
          <w:lang w:val="es-MX"/>
        </w:rPr>
        <w:t>flags</w:t>
      </w:r>
      <w:proofErr w:type="spellEnd"/>
      <w:r w:rsidRPr="00183D98">
        <w:rPr>
          <w:lang w:val="es-MX"/>
        </w:rPr>
        <w:t xml:space="preserve"> o banderas que habilitan funcionalidades públicas experimentalmente.</w:t>
      </w:r>
    </w:p>
    <w:p w14:paraId="1DEEB773" w14:textId="77777777" w:rsidR="002A3865" w:rsidRPr="00183D98" w:rsidRDefault="00000000">
      <w:pPr>
        <w:pStyle w:val="Listaconvietas"/>
        <w:rPr>
          <w:lang w:val="es-MX"/>
        </w:rPr>
      </w:pPr>
      <w:r w:rsidRPr="00183D98">
        <w:rPr>
          <w:lang w:val="es-MX"/>
        </w:rPr>
        <w:t xml:space="preserve">Claves públicas o identificadores de servicios </w:t>
      </w:r>
      <w:proofErr w:type="spellStart"/>
      <w:r w:rsidRPr="00183D98">
        <w:rPr>
          <w:lang w:val="es-MX"/>
        </w:rPr>
        <w:t>frontend</w:t>
      </w:r>
      <w:proofErr w:type="spellEnd"/>
      <w:r w:rsidRPr="00183D98">
        <w:rPr>
          <w:lang w:val="es-MX"/>
        </w:rPr>
        <w:t xml:space="preserve">, como </w:t>
      </w:r>
      <w:proofErr w:type="spellStart"/>
      <w:r w:rsidRPr="00183D98">
        <w:rPr>
          <w:lang w:val="es-MX"/>
        </w:rPr>
        <w:t>IDs</w:t>
      </w:r>
      <w:proofErr w:type="spellEnd"/>
      <w:r w:rsidRPr="00183D98">
        <w:rPr>
          <w:lang w:val="es-MX"/>
        </w:rPr>
        <w:t xml:space="preserve"> de proyectos o configuraciones de </w:t>
      </w:r>
      <w:proofErr w:type="spellStart"/>
      <w:r w:rsidRPr="00183D98">
        <w:rPr>
          <w:lang w:val="es-MX"/>
        </w:rPr>
        <w:t>SDKs</w:t>
      </w:r>
      <w:proofErr w:type="spellEnd"/>
      <w:r w:rsidRPr="00183D98">
        <w:rPr>
          <w:lang w:val="es-MX"/>
        </w:rPr>
        <w:t xml:space="preserve"> diseñados para ser públicos.</w:t>
      </w:r>
    </w:p>
    <w:p w14:paraId="6A007650" w14:textId="77777777" w:rsidR="002A3865" w:rsidRPr="00183D98" w:rsidRDefault="00000000">
      <w:pPr>
        <w:pStyle w:val="Listaconvietas"/>
        <w:rPr>
          <w:lang w:val="es-MX"/>
        </w:rPr>
      </w:pPr>
      <w:r w:rsidRPr="00183D98">
        <w:rPr>
          <w:lang w:val="es-MX"/>
        </w:rPr>
        <w:t>Metadatos de compilación y parámetros de comportamiento no sensibles.</w:t>
      </w:r>
    </w:p>
    <w:p w14:paraId="2EC7DC77" w14:textId="77777777" w:rsidR="002A3865" w:rsidRPr="00183D98" w:rsidRDefault="00000000">
      <w:pPr>
        <w:rPr>
          <w:lang w:val="es-MX"/>
        </w:rPr>
      </w:pPr>
      <w:r w:rsidRPr="00183D98">
        <w:rPr>
          <w:lang w:val="es-MX"/>
        </w:rPr>
        <w:t xml:space="preserve">Un punto crítico es distinguir entre una configuración pública y un secreto. Un valor accesible desde </w:t>
      </w:r>
      <w:proofErr w:type="spellStart"/>
      <w:r w:rsidRPr="00183D98">
        <w:rPr>
          <w:lang w:val="es-MX"/>
        </w:rPr>
        <w:t>import.meta.env</w:t>
      </w:r>
      <w:proofErr w:type="spellEnd"/>
      <w:r w:rsidRPr="00183D98">
        <w:rPr>
          <w:lang w:val="es-MX"/>
        </w:rPr>
        <w:t xml:space="preserve"> y usado por el código del cliente puede ser inspeccionado por usuarios mediante las herramientas del navegador o el JavaScript generado. Por ello, contraseñas, tokens privados, claves de acceso privilegiadas y credenciales de bases de datos nunca deben colocarse en variables VITE_.</w:t>
      </w:r>
    </w:p>
    <w:p w14:paraId="44618F4E" w14:textId="77777777" w:rsidR="002A3865" w:rsidRPr="00183D98" w:rsidRDefault="00000000" w:rsidP="00183D98">
      <w:pPr>
        <w:pStyle w:val="Ttulo2"/>
        <w:rPr>
          <w:lang w:val="es-MX"/>
        </w:rPr>
      </w:pPr>
      <w:r w:rsidRPr="00183D98">
        <w:rPr>
          <w:lang w:val="es-MX"/>
        </w:rPr>
        <w:t>2. Implementación en Proyectos Vite</w:t>
      </w:r>
    </w:p>
    <w:p w14:paraId="6DC38783" w14:textId="77777777" w:rsidR="002A3865" w:rsidRPr="00183D98" w:rsidRDefault="00000000" w:rsidP="00183D98">
      <w:pPr>
        <w:pStyle w:val="Ttulo3"/>
        <w:rPr>
          <w:lang w:val="es-MX"/>
        </w:rPr>
      </w:pPr>
      <w:r w:rsidRPr="00183D98">
        <w:rPr>
          <w:lang w:val="es-MX"/>
        </w:rPr>
        <w:t>2.1 Convención de archivos</w:t>
      </w:r>
    </w:p>
    <w:p w14:paraId="0132A72D" w14:textId="77777777" w:rsidR="002A3865" w:rsidRDefault="00000000">
      <w:r w:rsidRPr="00183D98">
        <w:rPr>
          <w:lang w:val="es-MX"/>
        </w:rPr>
        <w:t xml:space="preserve">Vite carga </w:t>
      </w:r>
      <w:proofErr w:type="gramStart"/>
      <w:r w:rsidRPr="00183D98">
        <w:rPr>
          <w:lang w:val="es-MX"/>
        </w:rPr>
        <w:t>archivos .</w:t>
      </w:r>
      <w:proofErr w:type="spellStart"/>
      <w:r w:rsidRPr="00183D98">
        <w:rPr>
          <w:lang w:val="es-MX"/>
        </w:rPr>
        <w:t>env</w:t>
      </w:r>
      <w:proofErr w:type="spellEnd"/>
      <w:proofErr w:type="gramEnd"/>
      <w:r w:rsidRPr="00183D98">
        <w:rPr>
          <w:lang w:val="es-MX"/>
        </w:rPr>
        <w:t xml:space="preserve"> en la raíz del proyecto y permite variantes por modo. </w:t>
      </w:r>
      <w:r>
        <w:t xml:space="preserve">Los </w:t>
      </w:r>
      <w:proofErr w:type="spellStart"/>
      <w:r>
        <w:t>nombres</w:t>
      </w:r>
      <w:proofErr w:type="spellEnd"/>
      <w:r>
        <w:t xml:space="preserve"> </w:t>
      </w:r>
      <w:proofErr w:type="spellStart"/>
      <w:r>
        <w:t>más</w:t>
      </w:r>
      <w:proofErr w:type="spellEnd"/>
      <w:r>
        <w:t xml:space="preserve"> </w:t>
      </w:r>
      <w:proofErr w:type="spellStart"/>
      <w:r>
        <w:t>comunes</w:t>
      </w:r>
      <w:proofErr w:type="spellEnd"/>
      <w:r>
        <w:t xml:space="preserve"> son:</w:t>
      </w:r>
    </w:p>
    <w:p w14:paraId="0F44231F" w14:textId="77777777" w:rsidR="002A3865" w:rsidRPr="00183D98" w:rsidRDefault="00000000">
      <w:pPr>
        <w:pStyle w:val="Listaconvietas"/>
        <w:rPr>
          <w:lang w:val="es-MX"/>
        </w:rPr>
      </w:pPr>
      <w:proofErr w:type="gramStart"/>
      <w:r w:rsidRPr="00183D98">
        <w:rPr>
          <w:b/>
          <w:lang w:val="es-MX"/>
        </w:rPr>
        <w:t>.</w:t>
      </w:r>
      <w:proofErr w:type="spellStart"/>
      <w:r w:rsidRPr="00183D98">
        <w:rPr>
          <w:b/>
          <w:lang w:val="es-MX"/>
        </w:rPr>
        <w:t>env</w:t>
      </w:r>
      <w:proofErr w:type="spellEnd"/>
      <w:proofErr w:type="gramEnd"/>
      <w:r w:rsidRPr="00183D98">
        <w:rPr>
          <w:b/>
          <w:lang w:val="es-MX"/>
        </w:rPr>
        <w:t xml:space="preserve">: </w:t>
      </w:r>
      <w:r w:rsidRPr="00183D98">
        <w:rPr>
          <w:lang w:val="es-MX"/>
        </w:rPr>
        <w:t>Configuración común que puede utilizarse como base para distintos modos.</w:t>
      </w:r>
    </w:p>
    <w:p w14:paraId="44041176" w14:textId="77777777" w:rsidR="002A3865" w:rsidRPr="00183D98" w:rsidRDefault="00000000">
      <w:pPr>
        <w:pStyle w:val="Listaconvietas"/>
        <w:rPr>
          <w:lang w:val="es-MX"/>
        </w:rPr>
      </w:pPr>
      <w:proofErr w:type="gramStart"/>
      <w:r w:rsidRPr="00183D98">
        <w:rPr>
          <w:b/>
          <w:lang w:val="es-MX"/>
        </w:rPr>
        <w:t>.</w:t>
      </w:r>
      <w:proofErr w:type="spellStart"/>
      <w:r w:rsidRPr="00183D98">
        <w:rPr>
          <w:b/>
          <w:lang w:val="es-MX"/>
        </w:rPr>
        <w:t>env</w:t>
      </w:r>
      <w:proofErr w:type="gramEnd"/>
      <w:r w:rsidRPr="00183D98">
        <w:rPr>
          <w:b/>
          <w:lang w:val="es-MX"/>
        </w:rPr>
        <w:t>.development</w:t>
      </w:r>
      <w:proofErr w:type="spellEnd"/>
      <w:r w:rsidRPr="00183D98">
        <w:rPr>
          <w:b/>
          <w:lang w:val="es-MX"/>
        </w:rPr>
        <w:t xml:space="preserve">: </w:t>
      </w:r>
      <w:r w:rsidRPr="00183D98">
        <w:rPr>
          <w:lang w:val="es-MX"/>
        </w:rPr>
        <w:t>Valores específicos del modo de desarrollo.</w:t>
      </w:r>
    </w:p>
    <w:p w14:paraId="6B1EBFDB" w14:textId="77777777" w:rsidR="002A3865" w:rsidRPr="00183D98" w:rsidRDefault="00000000">
      <w:pPr>
        <w:pStyle w:val="Listaconvietas"/>
        <w:rPr>
          <w:lang w:val="es-MX"/>
        </w:rPr>
      </w:pPr>
      <w:proofErr w:type="gramStart"/>
      <w:r w:rsidRPr="00183D98">
        <w:rPr>
          <w:b/>
          <w:lang w:val="es-MX"/>
        </w:rPr>
        <w:t>.</w:t>
      </w:r>
      <w:proofErr w:type="spellStart"/>
      <w:r w:rsidRPr="00183D98">
        <w:rPr>
          <w:b/>
          <w:lang w:val="es-MX"/>
        </w:rPr>
        <w:t>env</w:t>
      </w:r>
      <w:proofErr w:type="gramEnd"/>
      <w:r w:rsidRPr="00183D98">
        <w:rPr>
          <w:b/>
          <w:lang w:val="es-MX"/>
        </w:rPr>
        <w:t>.production</w:t>
      </w:r>
      <w:proofErr w:type="spellEnd"/>
      <w:r w:rsidRPr="00183D98">
        <w:rPr>
          <w:b/>
          <w:lang w:val="es-MX"/>
        </w:rPr>
        <w:t xml:space="preserve">: </w:t>
      </w:r>
      <w:r w:rsidRPr="00183D98">
        <w:rPr>
          <w:lang w:val="es-MX"/>
        </w:rPr>
        <w:t>Valores específicos del modo de producción.</w:t>
      </w:r>
    </w:p>
    <w:p w14:paraId="15B330F1" w14:textId="77777777" w:rsidR="002A3865" w:rsidRPr="00183D98" w:rsidRDefault="00000000">
      <w:pPr>
        <w:pStyle w:val="Listaconvietas"/>
        <w:rPr>
          <w:lang w:val="es-MX"/>
        </w:rPr>
      </w:pPr>
      <w:proofErr w:type="gramStart"/>
      <w:r w:rsidRPr="00183D98">
        <w:rPr>
          <w:b/>
          <w:lang w:val="es-MX"/>
        </w:rPr>
        <w:t>.</w:t>
      </w:r>
      <w:proofErr w:type="spellStart"/>
      <w:r w:rsidRPr="00183D98">
        <w:rPr>
          <w:b/>
          <w:lang w:val="es-MX"/>
        </w:rPr>
        <w:t>env</w:t>
      </w:r>
      <w:proofErr w:type="gramEnd"/>
      <w:r w:rsidRPr="00183D98">
        <w:rPr>
          <w:b/>
          <w:lang w:val="es-MX"/>
        </w:rPr>
        <w:t>.local</w:t>
      </w:r>
      <w:proofErr w:type="spellEnd"/>
      <w:r w:rsidRPr="00183D98">
        <w:rPr>
          <w:b/>
          <w:lang w:val="es-MX"/>
        </w:rPr>
        <w:t xml:space="preserve">: </w:t>
      </w:r>
      <w:r w:rsidRPr="00183D98">
        <w:rPr>
          <w:lang w:val="es-MX"/>
        </w:rPr>
        <w:t>Configuración local de la máquina que normalmente no debe versionarse.</w:t>
      </w:r>
    </w:p>
    <w:p w14:paraId="1669551C" w14:textId="77777777" w:rsidR="002A3865" w:rsidRPr="00183D98" w:rsidRDefault="00000000">
      <w:pPr>
        <w:rPr>
          <w:lang w:val="es-MX"/>
        </w:rPr>
      </w:pPr>
      <w:r w:rsidRPr="00183D98">
        <w:rPr>
          <w:lang w:val="es-MX"/>
        </w:rPr>
        <w:t xml:space="preserve">También pueden existir archivos </w:t>
      </w:r>
      <w:proofErr w:type="gramStart"/>
      <w:r w:rsidRPr="00183D98">
        <w:rPr>
          <w:lang w:val="es-MX"/>
        </w:rPr>
        <w:t>como .</w:t>
      </w:r>
      <w:proofErr w:type="spellStart"/>
      <w:r w:rsidRPr="00183D98">
        <w:rPr>
          <w:lang w:val="es-MX"/>
        </w:rPr>
        <w:t>env</w:t>
      </w:r>
      <w:proofErr w:type="gramEnd"/>
      <w:r w:rsidRPr="00183D98">
        <w:rPr>
          <w:lang w:val="es-MX"/>
        </w:rPr>
        <w:t>.</w:t>
      </w:r>
      <w:proofErr w:type="gramStart"/>
      <w:r w:rsidRPr="00183D98">
        <w:rPr>
          <w:lang w:val="es-MX"/>
        </w:rPr>
        <w:t>development.local</w:t>
      </w:r>
      <w:proofErr w:type="spellEnd"/>
      <w:proofErr w:type="gramEnd"/>
      <w:r w:rsidRPr="00183D98">
        <w:rPr>
          <w:lang w:val="es-MX"/>
        </w:rPr>
        <w:t xml:space="preserve"> </w:t>
      </w:r>
      <w:proofErr w:type="gramStart"/>
      <w:r w:rsidRPr="00183D98">
        <w:rPr>
          <w:lang w:val="es-MX"/>
        </w:rPr>
        <w:t>y .</w:t>
      </w:r>
      <w:proofErr w:type="spellStart"/>
      <w:r w:rsidRPr="00183D98">
        <w:rPr>
          <w:lang w:val="es-MX"/>
        </w:rPr>
        <w:t>env</w:t>
      </w:r>
      <w:proofErr w:type="gramEnd"/>
      <w:r w:rsidRPr="00183D98">
        <w:rPr>
          <w:lang w:val="es-MX"/>
        </w:rPr>
        <w:t>.</w:t>
      </w:r>
      <w:proofErr w:type="gramStart"/>
      <w:r w:rsidRPr="00183D98">
        <w:rPr>
          <w:lang w:val="es-MX"/>
        </w:rPr>
        <w:t>production.local</w:t>
      </w:r>
      <w:proofErr w:type="spellEnd"/>
      <w:proofErr w:type="gramEnd"/>
      <w:r w:rsidRPr="00183D98">
        <w:rPr>
          <w:lang w:val="es-MX"/>
        </w:rPr>
        <w:t xml:space="preserve">. La </w:t>
      </w:r>
      <w:proofErr w:type="gramStart"/>
      <w:r w:rsidRPr="00183D98">
        <w:rPr>
          <w:lang w:val="es-MX"/>
        </w:rPr>
        <w:t>variante .local</w:t>
      </w:r>
      <w:proofErr w:type="gramEnd"/>
      <w:r w:rsidRPr="00183D98">
        <w:rPr>
          <w:lang w:val="es-MX"/>
        </w:rPr>
        <w:t xml:space="preserve"> está pensada para ajustes específicos de un equipo o secretos que deban permanecer fuera del control de versiones. Cuando existen archivos para un mismo modo, los valores más específicos pueden sobrescribir configuraciones más generales.</w:t>
      </w:r>
    </w:p>
    <w:p w14:paraId="61F2D88E" w14:textId="7D921C36" w:rsidR="002A3865" w:rsidRPr="00183D98" w:rsidRDefault="00000000" w:rsidP="00183D98">
      <w:pPr>
        <w:pStyle w:val="Ttulo3"/>
        <w:rPr>
          <w:lang w:val="es-MX"/>
        </w:rPr>
      </w:pPr>
      <w:r w:rsidRPr="00183D98">
        <w:rPr>
          <w:lang w:val="es-MX"/>
        </w:rPr>
        <w:t>2.2 El prefijo obligatorio VITE</w:t>
      </w:r>
    </w:p>
    <w:p w14:paraId="3C6AA111" w14:textId="77777777" w:rsidR="002A3865" w:rsidRPr="00183D98" w:rsidRDefault="00000000">
      <w:pPr>
        <w:rPr>
          <w:lang w:val="es-MX"/>
        </w:rPr>
      </w:pPr>
      <w:r w:rsidRPr="00183D98">
        <w:rPr>
          <w:lang w:val="es-MX"/>
        </w:rPr>
        <w:t xml:space="preserve">Por defecto, Vite solo expone al código cliente las variables cuyo nombre comienza con VITE_. El objetivo es establecer una frontera explícita entre variables del entorno del proceso y valores que el desarrollador ha decidido hacer disponibles para el </w:t>
      </w:r>
      <w:proofErr w:type="spellStart"/>
      <w:r w:rsidRPr="00183D98">
        <w:rPr>
          <w:lang w:val="es-MX"/>
        </w:rPr>
        <w:t>frontend</w:t>
      </w:r>
      <w:proofErr w:type="spellEnd"/>
      <w:r w:rsidRPr="00183D98">
        <w:rPr>
          <w:lang w:val="es-MX"/>
        </w:rPr>
        <w:t>.</w:t>
      </w:r>
    </w:p>
    <w:tbl>
      <w:tblPr>
        <w:tblW w:w="0" w:type="auto"/>
        <w:jc w:val="center"/>
        <w:tblLook w:val="04A0" w:firstRow="1" w:lastRow="0" w:firstColumn="1" w:lastColumn="0" w:noHBand="0" w:noVBand="1"/>
      </w:tblPr>
      <w:tblGrid>
        <w:gridCol w:w="10080"/>
      </w:tblGrid>
      <w:tr w:rsidR="002A3865" w:rsidRPr="005F6033" w14:paraId="022DAD4F" w14:textId="77777777">
        <w:trPr>
          <w:jc w:val="center"/>
        </w:trPr>
        <w:tc>
          <w:tcPr>
            <w:tcW w:w="10080" w:type="dxa"/>
            <w:shd w:val="clear" w:color="auto" w:fill="F3F4F6"/>
          </w:tcPr>
          <w:p w14:paraId="61B1EF14" w14:textId="77777777" w:rsidR="002A3865" w:rsidRPr="00183D98" w:rsidRDefault="00000000">
            <w:pPr>
              <w:spacing w:before="60" w:after="60"/>
              <w:rPr>
                <w:lang w:val="es-MX"/>
              </w:rPr>
            </w:pPr>
            <w:r w:rsidRPr="00183D98">
              <w:rPr>
                <w:rFonts w:ascii="Consolas" w:hAnsi="Consolas"/>
                <w:sz w:val="17"/>
                <w:lang w:val="es-MX"/>
              </w:rPr>
              <w:t>VITE_API_URL=https://api.ejemplo.com</w:t>
            </w:r>
            <w:r w:rsidRPr="00183D98">
              <w:rPr>
                <w:rFonts w:ascii="Consolas" w:hAnsi="Consolas"/>
                <w:sz w:val="17"/>
                <w:lang w:val="es-MX"/>
              </w:rPr>
              <w:br/>
              <w:t>VITE_ENABLE_BETA=true</w:t>
            </w:r>
            <w:r w:rsidRPr="00183D98">
              <w:rPr>
                <w:rFonts w:ascii="Consolas" w:hAnsi="Consolas"/>
                <w:sz w:val="17"/>
                <w:lang w:val="es-MX"/>
              </w:rPr>
              <w:br/>
            </w:r>
            <w:r w:rsidRPr="00183D98">
              <w:rPr>
                <w:rFonts w:ascii="Consolas" w:hAnsi="Consolas"/>
                <w:sz w:val="17"/>
                <w:lang w:val="es-MX"/>
              </w:rPr>
              <w:br/>
              <w:t>DATABASE_PASSWORD=</w:t>
            </w:r>
            <w:proofErr w:type="spellStart"/>
            <w:r w:rsidRPr="00183D98">
              <w:rPr>
                <w:rFonts w:ascii="Consolas" w:hAnsi="Consolas"/>
                <w:sz w:val="17"/>
                <w:lang w:val="es-MX"/>
              </w:rPr>
              <w:t>super-secreto</w:t>
            </w:r>
            <w:proofErr w:type="spellEnd"/>
            <w:r w:rsidRPr="00183D98">
              <w:rPr>
                <w:rFonts w:ascii="Consolas" w:hAnsi="Consolas"/>
                <w:sz w:val="17"/>
                <w:lang w:val="es-MX"/>
              </w:rPr>
              <w:br/>
              <w:t>JWT_PRIVATE_KEY=clave-privada</w:t>
            </w:r>
          </w:p>
        </w:tc>
      </w:tr>
    </w:tbl>
    <w:p w14:paraId="2D5E576A" w14:textId="77777777" w:rsidR="002A3865" w:rsidRPr="00183D98" w:rsidRDefault="002A3865">
      <w:pPr>
        <w:rPr>
          <w:lang w:val="es-MX"/>
        </w:rPr>
      </w:pPr>
    </w:p>
    <w:p w14:paraId="174C3B54" w14:textId="77777777" w:rsidR="002A3865" w:rsidRPr="00183D98" w:rsidRDefault="00000000">
      <w:pPr>
        <w:rPr>
          <w:lang w:val="es-MX"/>
        </w:rPr>
      </w:pPr>
      <w:r w:rsidRPr="00183D98">
        <w:rPr>
          <w:lang w:val="es-MX"/>
        </w:rPr>
        <w:t xml:space="preserve">En este ejemplo, las dos variables VITE_ pueden ser utilizadas desde </w:t>
      </w:r>
      <w:proofErr w:type="spellStart"/>
      <w:r w:rsidRPr="00183D98">
        <w:rPr>
          <w:lang w:val="es-MX"/>
        </w:rPr>
        <w:t>import.meta.env</w:t>
      </w:r>
      <w:proofErr w:type="spellEnd"/>
      <w:r w:rsidRPr="00183D98">
        <w:rPr>
          <w:lang w:val="es-MX"/>
        </w:rPr>
        <w:t xml:space="preserve"> en el código cliente. Las otras no se exponen automáticamente. Sin embargo, la seguridad depende de usar correctamente el prefijo: si se escribe VITE_DATABASE_PASSWORD, el secreto deja de ser privado y puede terminar incluido en el </w:t>
      </w:r>
      <w:proofErr w:type="spellStart"/>
      <w:r w:rsidRPr="00183D98">
        <w:rPr>
          <w:lang w:val="es-MX"/>
        </w:rPr>
        <w:t>bundle</w:t>
      </w:r>
      <w:proofErr w:type="spellEnd"/>
      <w:r w:rsidRPr="00183D98">
        <w:rPr>
          <w:lang w:val="es-MX"/>
        </w:rPr>
        <w:t>. El mecanismo previene exposiciones accidentales, no protege secretos que el desarrollador marque explícitamente para el cliente.</w:t>
      </w:r>
    </w:p>
    <w:p w14:paraId="628CCA5F" w14:textId="77777777" w:rsidR="002A3865" w:rsidRPr="00183D98" w:rsidRDefault="00000000" w:rsidP="00183D98">
      <w:pPr>
        <w:pStyle w:val="Ttulo3"/>
        <w:rPr>
          <w:lang w:val="es-MX"/>
        </w:rPr>
      </w:pPr>
      <w:r w:rsidRPr="00183D98">
        <w:rPr>
          <w:lang w:val="es-MX"/>
        </w:rPr>
        <w:t xml:space="preserve">2.3 Acceso mediante </w:t>
      </w:r>
      <w:proofErr w:type="spellStart"/>
      <w:r w:rsidRPr="00183D98">
        <w:rPr>
          <w:lang w:val="es-MX"/>
        </w:rPr>
        <w:t>import.meta.env</w:t>
      </w:r>
      <w:proofErr w:type="spellEnd"/>
    </w:p>
    <w:p w14:paraId="4E3C9BF1" w14:textId="77777777" w:rsidR="002A3865" w:rsidRPr="00183D98" w:rsidRDefault="00000000">
      <w:pPr>
        <w:rPr>
          <w:lang w:val="es-MX"/>
        </w:rPr>
      </w:pPr>
      <w:r w:rsidRPr="00183D98">
        <w:rPr>
          <w:lang w:val="es-MX"/>
        </w:rPr>
        <w:t xml:space="preserve">Vite utiliza </w:t>
      </w:r>
      <w:proofErr w:type="spellStart"/>
      <w:r w:rsidRPr="00183D98">
        <w:rPr>
          <w:lang w:val="es-MX"/>
        </w:rPr>
        <w:t>import.meta.env</w:t>
      </w:r>
      <w:proofErr w:type="spellEnd"/>
      <w:r w:rsidRPr="00183D98">
        <w:rPr>
          <w:lang w:val="es-MX"/>
        </w:rPr>
        <w:t xml:space="preserve"> como interfaz para acceder a variables y constantes del entorno. Esta aproximación difiere de </w:t>
      </w:r>
      <w:proofErr w:type="spellStart"/>
      <w:r w:rsidRPr="00183D98">
        <w:rPr>
          <w:lang w:val="es-MX"/>
        </w:rPr>
        <w:t>process.env</w:t>
      </w:r>
      <w:proofErr w:type="spellEnd"/>
      <w:r w:rsidRPr="00183D98">
        <w:rPr>
          <w:lang w:val="es-MX"/>
        </w:rPr>
        <w:t xml:space="preserve">, habitual en Node.js y en herramientas como configuraciones clásicas basadas en </w:t>
      </w:r>
      <w:proofErr w:type="spellStart"/>
      <w:r w:rsidRPr="00183D98">
        <w:rPr>
          <w:lang w:val="es-MX"/>
        </w:rPr>
        <w:t>webpack</w:t>
      </w:r>
      <w:proofErr w:type="spellEnd"/>
      <w:r w:rsidRPr="00183D98">
        <w:rPr>
          <w:lang w:val="es-MX"/>
        </w:rPr>
        <w:t xml:space="preserve">. En una aplicación Vite de cliente no debe asumirse que </w:t>
      </w:r>
      <w:proofErr w:type="spellStart"/>
      <w:r w:rsidRPr="00183D98">
        <w:rPr>
          <w:lang w:val="es-MX"/>
        </w:rPr>
        <w:t>process.env</w:t>
      </w:r>
      <w:proofErr w:type="spellEnd"/>
      <w:r w:rsidRPr="00183D98">
        <w:rPr>
          <w:lang w:val="es-MX"/>
        </w:rPr>
        <w:t xml:space="preserve"> exista como objeto global de </w:t>
      </w:r>
      <w:proofErr w:type="spellStart"/>
      <w:r w:rsidRPr="00183D98">
        <w:rPr>
          <w:lang w:val="es-MX"/>
        </w:rPr>
        <w:t>Node</w:t>
      </w:r>
      <w:proofErr w:type="spellEnd"/>
      <w:r w:rsidRPr="00183D98">
        <w:rPr>
          <w:lang w:val="es-MX"/>
        </w:rPr>
        <w:t>.</w:t>
      </w:r>
    </w:p>
    <w:tbl>
      <w:tblPr>
        <w:tblW w:w="0" w:type="auto"/>
        <w:jc w:val="center"/>
        <w:tblLook w:val="04A0" w:firstRow="1" w:lastRow="0" w:firstColumn="1" w:lastColumn="0" w:noHBand="0" w:noVBand="1"/>
      </w:tblPr>
      <w:tblGrid>
        <w:gridCol w:w="10080"/>
      </w:tblGrid>
      <w:tr w:rsidR="002A3865" w14:paraId="11F5F79B" w14:textId="77777777">
        <w:trPr>
          <w:jc w:val="center"/>
        </w:trPr>
        <w:tc>
          <w:tcPr>
            <w:tcW w:w="10080" w:type="dxa"/>
            <w:shd w:val="clear" w:color="auto" w:fill="F3F4F6"/>
          </w:tcPr>
          <w:p w14:paraId="063748F1" w14:textId="77777777" w:rsidR="002A3865" w:rsidRDefault="00000000">
            <w:pPr>
              <w:spacing w:before="60" w:after="60"/>
            </w:pPr>
            <w:r>
              <w:rPr>
                <w:rFonts w:ascii="Consolas" w:hAnsi="Consolas"/>
                <w:sz w:val="17"/>
              </w:rPr>
              <w:lastRenderedPageBreak/>
              <w:t xml:space="preserve">const </w:t>
            </w:r>
            <w:proofErr w:type="spellStart"/>
            <w:r>
              <w:rPr>
                <w:rFonts w:ascii="Consolas" w:hAnsi="Consolas"/>
                <w:sz w:val="17"/>
              </w:rPr>
              <w:t>apiUrl</w:t>
            </w:r>
            <w:proofErr w:type="spellEnd"/>
            <w:r>
              <w:rPr>
                <w:rFonts w:ascii="Consolas" w:hAnsi="Consolas"/>
                <w:sz w:val="17"/>
              </w:rPr>
              <w:t xml:space="preserve"> = </w:t>
            </w:r>
            <w:proofErr w:type="spellStart"/>
            <w:proofErr w:type="gramStart"/>
            <w:r>
              <w:rPr>
                <w:rFonts w:ascii="Consolas" w:hAnsi="Consolas"/>
                <w:sz w:val="17"/>
              </w:rPr>
              <w:t>import.meta.env.VITE</w:t>
            </w:r>
            <w:proofErr w:type="gramEnd"/>
            <w:r>
              <w:rPr>
                <w:rFonts w:ascii="Consolas" w:hAnsi="Consolas"/>
                <w:sz w:val="17"/>
              </w:rPr>
              <w:t>_API_URL</w:t>
            </w:r>
            <w:proofErr w:type="spellEnd"/>
            <w:r>
              <w:rPr>
                <w:rFonts w:ascii="Consolas" w:hAnsi="Consolas"/>
                <w:sz w:val="17"/>
              </w:rPr>
              <w:t>;</w:t>
            </w:r>
            <w:r>
              <w:rPr>
                <w:rFonts w:ascii="Consolas" w:hAnsi="Consolas"/>
                <w:sz w:val="17"/>
              </w:rPr>
              <w:br/>
            </w:r>
            <w:r>
              <w:rPr>
                <w:rFonts w:ascii="Consolas" w:hAnsi="Consolas"/>
                <w:sz w:val="17"/>
              </w:rPr>
              <w:br/>
              <w:t>fetch(`${</w:t>
            </w:r>
            <w:proofErr w:type="spellStart"/>
            <w:r>
              <w:rPr>
                <w:rFonts w:ascii="Consolas" w:hAnsi="Consolas"/>
                <w:sz w:val="17"/>
              </w:rPr>
              <w:t>apiUrl</w:t>
            </w:r>
            <w:proofErr w:type="spellEnd"/>
            <w:r>
              <w:rPr>
                <w:rFonts w:ascii="Consolas" w:hAnsi="Consolas"/>
                <w:sz w:val="17"/>
              </w:rPr>
              <w:t>}/users`)</w:t>
            </w:r>
            <w:r>
              <w:rPr>
                <w:rFonts w:ascii="Consolas" w:hAnsi="Consolas"/>
                <w:sz w:val="17"/>
              </w:rPr>
              <w:br/>
              <w:t xml:space="preserve">  .then((response) =&gt; </w:t>
            </w:r>
            <w:proofErr w:type="gramStart"/>
            <w:r>
              <w:rPr>
                <w:rFonts w:ascii="Consolas" w:hAnsi="Consolas"/>
                <w:sz w:val="17"/>
              </w:rPr>
              <w:t>response.json</w:t>
            </w:r>
            <w:proofErr w:type="gramEnd"/>
            <w:r>
              <w:rPr>
                <w:rFonts w:ascii="Consolas" w:hAnsi="Consolas"/>
                <w:sz w:val="17"/>
              </w:rPr>
              <w:t>())</w:t>
            </w:r>
            <w:r>
              <w:rPr>
                <w:rFonts w:ascii="Consolas" w:hAnsi="Consolas"/>
                <w:sz w:val="17"/>
              </w:rPr>
              <w:br/>
              <w:t xml:space="preserve">  .then((users) =&gt; console.log(users));</w:t>
            </w:r>
          </w:p>
        </w:tc>
      </w:tr>
    </w:tbl>
    <w:p w14:paraId="2428B5AD" w14:textId="77777777" w:rsidR="002A3865" w:rsidRDefault="002A3865"/>
    <w:p w14:paraId="48CE6272" w14:textId="77777777" w:rsidR="002A3865" w:rsidRPr="00183D98" w:rsidRDefault="00000000">
      <w:pPr>
        <w:rPr>
          <w:lang w:val="es-MX"/>
        </w:rPr>
      </w:pPr>
      <w:r w:rsidRPr="00183D98">
        <w:rPr>
          <w:lang w:val="es-MX"/>
        </w:rPr>
        <w:t>Además de las variables personalizadas, Vite proporciona propiedades integradas como MODE, DEV, PROD y BASE_URL. Estas permiten adaptar ciertas rutas o comportamientos al modo de ejecución. Para la configuración pública propia, la práctica habitual es mantener el prefijo VITE_ y centralizar su lectura en un módulo de configuración cuando el proyecto crece.</w:t>
      </w:r>
    </w:p>
    <w:p w14:paraId="30A39CE3" w14:textId="77777777" w:rsidR="002A3865" w:rsidRPr="00183D98" w:rsidRDefault="00000000" w:rsidP="00183D98">
      <w:pPr>
        <w:pStyle w:val="Ttulo3"/>
        <w:rPr>
          <w:lang w:val="es-MX"/>
        </w:rPr>
      </w:pPr>
      <w:r w:rsidRPr="00183D98">
        <w:rPr>
          <w:lang w:val="es-MX"/>
        </w:rPr>
        <w:t xml:space="preserve">2.4 Tipado básico en </w:t>
      </w:r>
      <w:proofErr w:type="spellStart"/>
      <w:r w:rsidRPr="00183D98">
        <w:rPr>
          <w:lang w:val="es-MX"/>
        </w:rPr>
        <w:t>TypeScript</w:t>
      </w:r>
      <w:proofErr w:type="spellEnd"/>
      <w:r w:rsidRPr="00183D98">
        <w:rPr>
          <w:lang w:val="es-MX"/>
        </w:rPr>
        <w:t xml:space="preserve"> y </w:t>
      </w:r>
      <w:proofErr w:type="spellStart"/>
      <w:r w:rsidRPr="00183D98">
        <w:rPr>
          <w:lang w:val="es-MX"/>
        </w:rPr>
        <w:t>JSDoc</w:t>
      </w:r>
      <w:proofErr w:type="spellEnd"/>
    </w:p>
    <w:p w14:paraId="0FC67268" w14:textId="77777777" w:rsidR="002A3865" w:rsidRPr="00183D98" w:rsidRDefault="00000000">
      <w:pPr>
        <w:rPr>
          <w:lang w:val="es-MX"/>
        </w:rPr>
      </w:pPr>
      <w:r w:rsidRPr="00183D98">
        <w:rPr>
          <w:lang w:val="es-MX"/>
        </w:rPr>
        <w:t xml:space="preserve">En proyectos </w:t>
      </w:r>
      <w:proofErr w:type="spellStart"/>
      <w:r w:rsidRPr="00183D98">
        <w:rPr>
          <w:lang w:val="es-MX"/>
        </w:rPr>
        <w:t>TypeScript</w:t>
      </w:r>
      <w:proofErr w:type="spellEnd"/>
      <w:r w:rsidRPr="00183D98">
        <w:rPr>
          <w:lang w:val="es-MX"/>
        </w:rPr>
        <w:t xml:space="preserve">, Vite incluye declaraciones para </w:t>
      </w:r>
      <w:proofErr w:type="spellStart"/>
      <w:r w:rsidRPr="00183D98">
        <w:rPr>
          <w:lang w:val="es-MX"/>
        </w:rPr>
        <w:t>import.meta.env</w:t>
      </w:r>
      <w:proofErr w:type="spellEnd"/>
      <w:r w:rsidRPr="00183D98">
        <w:rPr>
          <w:lang w:val="es-MX"/>
        </w:rPr>
        <w:t>. Las variables personalizadas pueden documentarse mediante una interfaz para mejorar el autocompletado y detectar errores de nombres.</w:t>
      </w:r>
    </w:p>
    <w:p w14:paraId="4B1FAD43" w14:textId="77777777" w:rsidR="002A3865" w:rsidRPr="00183D98" w:rsidRDefault="00000000">
      <w:pPr>
        <w:rPr>
          <w:lang w:val="es-MX"/>
        </w:rPr>
      </w:pPr>
      <w:r w:rsidRPr="00183D98">
        <w:rPr>
          <w:lang w:val="es-MX"/>
        </w:rPr>
        <w:t xml:space="preserve">Archivo: </w:t>
      </w:r>
      <w:proofErr w:type="spellStart"/>
      <w:r w:rsidRPr="00183D98">
        <w:rPr>
          <w:lang w:val="es-MX"/>
        </w:rPr>
        <w:t>src</w:t>
      </w:r>
      <w:proofErr w:type="spellEnd"/>
      <w:r w:rsidRPr="00183D98">
        <w:rPr>
          <w:lang w:val="es-MX"/>
        </w:rPr>
        <w:t>/vite-</w:t>
      </w:r>
      <w:proofErr w:type="spellStart"/>
      <w:r w:rsidRPr="00183D98">
        <w:rPr>
          <w:lang w:val="es-MX"/>
        </w:rPr>
        <w:t>env.d.ts</w:t>
      </w:r>
      <w:proofErr w:type="spellEnd"/>
    </w:p>
    <w:tbl>
      <w:tblPr>
        <w:tblW w:w="0" w:type="auto"/>
        <w:jc w:val="center"/>
        <w:tblLook w:val="04A0" w:firstRow="1" w:lastRow="0" w:firstColumn="1" w:lastColumn="0" w:noHBand="0" w:noVBand="1"/>
      </w:tblPr>
      <w:tblGrid>
        <w:gridCol w:w="10080"/>
      </w:tblGrid>
      <w:tr w:rsidR="002A3865" w14:paraId="4B4CEE71" w14:textId="77777777">
        <w:trPr>
          <w:jc w:val="center"/>
        </w:trPr>
        <w:tc>
          <w:tcPr>
            <w:tcW w:w="10080" w:type="dxa"/>
            <w:shd w:val="clear" w:color="auto" w:fill="F3F4F6"/>
          </w:tcPr>
          <w:p w14:paraId="1946C6FF" w14:textId="77777777" w:rsidR="002A3865" w:rsidRDefault="00000000">
            <w:pPr>
              <w:spacing w:before="60" w:after="60"/>
            </w:pPr>
            <w:r>
              <w:rPr>
                <w:rFonts w:ascii="Consolas" w:hAnsi="Consolas"/>
                <w:sz w:val="17"/>
              </w:rPr>
              <w:t>/// &lt;reference types="</w:t>
            </w:r>
            <w:proofErr w:type="spellStart"/>
            <w:r>
              <w:rPr>
                <w:rFonts w:ascii="Consolas" w:hAnsi="Consolas"/>
                <w:sz w:val="17"/>
              </w:rPr>
              <w:t>vite</w:t>
            </w:r>
            <w:proofErr w:type="spellEnd"/>
            <w:r>
              <w:rPr>
                <w:rFonts w:ascii="Consolas" w:hAnsi="Consolas"/>
                <w:sz w:val="17"/>
              </w:rPr>
              <w:t>/client" /&gt;</w:t>
            </w:r>
            <w:r>
              <w:rPr>
                <w:rFonts w:ascii="Consolas" w:hAnsi="Consolas"/>
                <w:sz w:val="17"/>
              </w:rPr>
              <w:br/>
            </w:r>
            <w:r>
              <w:rPr>
                <w:rFonts w:ascii="Consolas" w:hAnsi="Consolas"/>
                <w:sz w:val="17"/>
              </w:rPr>
              <w:br/>
              <w:t xml:space="preserve">interface </w:t>
            </w:r>
            <w:proofErr w:type="spellStart"/>
            <w:r>
              <w:rPr>
                <w:rFonts w:ascii="Consolas" w:hAnsi="Consolas"/>
                <w:sz w:val="17"/>
              </w:rPr>
              <w:t>ImportMetaEnv</w:t>
            </w:r>
            <w:proofErr w:type="spellEnd"/>
            <w:r>
              <w:rPr>
                <w:rFonts w:ascii="Consolas" w:hAnsi="Consolas"/>
                <w:sz w:val="17"/>
              </w:rPr>
              <w:t xml:space="preserve"> {</w:t>
            </w:r>
            <w:r>
              <w:rPr>
                <w:rFonts w:ascii="Consolas" w:hAnsi="Consolas"/>
                <w:sz w:val="17"/>
              </w:rPr>
              <w:br/>
              <w:t xml:space="preserve">  readonly VITE_API_URL: string;</w:t>
            </w:r>
            <w:r>
              <w:rPr>
                <w:rFonts w:ascii="Consolas" w:hAnsi="Consolas"/>
                <w:sz w:val="17"/>
              </w:rPr>
              <w:br/>
              <w:t xml:space="preserve">  readonly VITE_ENABLE_BETA: string;</w:t>
            </w:r>
            <w:r>
              <w:rPr>
                <w:rFonts w:ascii="Consolas" w:hAnsi="Consolas"/>
                <w:sz w:val="17"/>
              </w:rPr>
              <w:br/>
              <w:t>}</w:t>
            </w:r>
            <w:r>
              <w:rPr>
                <w:rFonts w:ascii="Consolas" w:hAnsi="Consolas"/>
                <w:sz w:val="17"/>
              </w:rPr>
              <w:br/>
            </w:r>
            <w:r>
              <w:rPr>
                <w:rFonts w:ascii="Consolas" w:hAnsi="Consolas"/>
                <w:sz w:val="17"/>
              </w:rPr>
              <w:br/>
              <w:t>interface ImportMeta {</w:t>
            </w:r>
            <w:r>
              <w:rPr>
                <w:rFonts w:ascii="Consolas" w:hAnsi="Consolas"/>
                <w:sz w:val="17"/>
              </w:rPr>
              <w:br/>
              <w:t xml:space="preserve">  readonly env: ImportMetaEnv;</w:t>
            </w:r>
            <w:r>
              <w:rPr>
                <w:rFonts w:ascii="Consolas" w:hAnsi="Consolas"/>
                <w:sz w:val="17"/>
              </w:rPr>
              <w:br/>
              <w:t>}</w:t>
            </w:r>
          </w:p>
        </w:tc>
      </w:tr>
    </w:tbl>
    <w:p w14:paraId="61643BAB" w14:textId="77777777" w:rsidR="002A3865" w:rsidRDefault="002A3865"/>
    <w:p w14:paraId="5D51E80F" w14:textId="77777777" w:rsidR="002A3865" w:rsidRPr="00183D98" w:rsidRDefault="00000000">
      <w:pPr>
        <w:rPr>
          <w:lang w:val="es-MX"/>
        </w:rPr>
      </w:pPr>
      <w:r w:rsidRPr="00183D98">
        <w:rPr>
          <w:lang w:val="es-MX"/>
        </w:rPr>
        <w:t xml:space="preserve">Las variables provenientes de </w:t>
      </w:r>
      <w:proofErr w:type="gramStart"/>
      <w:r w:rsidRPr="00183D98">
        <w:rPr>
          <w:lang w:val="es-MX"/>
        </w:rPr>
        <w:t>archivos .</w:t>
      </w:r>
      <w:proofErr w:type="spellStart"/>
      <w:r w:rsidRPr="00183D98">
        <w:rPr>
          <w:lang w:val="es-MX"/>
        </w:rPr>
        <w:t>env</w:t>
      </w:r>
      <w:proofErr w:type="spellEnd"/>
      <w:proofErr w:type="gramEnd"/>
      <w:r w:rsidRPr="00183D98">
        <w:rPr>
          <w:lang w:val="es-MX"/>
        </w:rPr>
        <w:t xml:space="preserve"> se interpretan inicialmente como texto, por lo que VITE_ENABLE_BETA no se convierte automáticamente en booleano. Es recomendable realizar conversiones explícitas y validar valores cuando la configuración tenga impacto relevante.</w:t>
      </w:r>
    </w:p>
    <w:tbl>
      <w:tblPr>
        <w:tblW w:w="0" w:type="auto"/>
        <w:jc w:val="center"/>
        <w:tblLook w:val="04A0" w:firstRow="1" w:lastRow="0" w:firstColumn="1" w:lastColumn="0" w:noHBand="0" w:noVBand="1"/>
      </w:tblPr>
      <w:tblGrid>
        <w:gridCol w:w="10080"/>
      </w:tblGrid>
      <w:tr w:rsidR="002A3865" w14:paraId="065F1D57" w14:textId="77777777">
        <w:trPr>
          <w:jc w:val="center"/>
        </w:trPr>
        <w:tc>
          <w:tcPr>
            <w:tcW w:w="10080" w:type="dxa"/>
            <w:shd w:val="clear" w:color="auto" w:fill="F3F4F6"/>
          </w:tcPr>
          <w:p w14:paraId="2A407898" w14:textId="77777777" w:rsidR="002A3865" w:rsidRDefault="00000000">
            <w:pPr>
              <w:spacing w:before="60" w:after="60"/>
            </w:pPr>
            <w:r>
              <w:rPr>
                <w:rFonts w:ascii="Consolas" w:hAnsi="Consolas"/>
                <w:sz w:val="17"/>
              </w:rPr>
              <w:t>export const config = {</w:t>
            </w:r>
            <w:r>
              <w:rPr>
                <w:rFonts w:ascii="Consolas" w:hAnsi="Consolas"/>
                <w:sz w:val="17"/>
              </w:rPr>
              <w:br/>
              <w:t xml:space="preserve">  apiUrl: </w:t>
            </w:r>
            <w:proofErr w:type="gramStart"/>
            <w:r>
              <w:rPr>
                <w:rFonts w:ascii="Consolas" w:hAnsi="Consolas"/>
                <w:sz w:val="17"/>
              </w:rPr>
              <w:t>import.meta.env.VITE</w:t>
            </w:r>
            <w:proofErr w:type="gramEnd"/>
            <w:r>
              <w:rPr>
                <w:rFonts w:ascii="Consolas" w:hAnsi="Consolas"/>
                <w:sz w:val="17"/>
              </w:rPr>
              <w:t>_API_URL,</w:t>
            </w:r>
            <w:r>
              <w:rPr>
                <w:rFonts w:ascii="Consolas" w:hAnsi="Consolas"/>
                <w:sz w:val="17"/>
              </w:rPr>
              <w:br/>
              <w:t xml:space="preserve">  enableBeta: </w:t>
            </w:r>
            <w:proofErr w:type="gramStart"/>
            <w:r>
              <w:rPr>
                <w:rFonts w:ascii="Consolas" w:hAnsi="Consolas"/>
                <w:sz w:val="17"/>
              </w:rPr>
              <w:t>import.meta.env.VITE</w:t>
            </w:r>
            <w:proofErr w:type="gramEnd"/>
            <w:r>
              <w:rPr>
                <w:rFonts w:ascii="Consolas" w:hAnsi="Consolas"/>
                <w:sz w:val="17"/>
              </w:rPr>
              <w:t>_ENABLE_BETA === "true",</w:t>
            </w:r>
            <w:r>
              <w:rPr>
                <w:rFonts w:ascii="Consolas" w:hAnsi="Consolas"/>
                <w:sz w:val="17"/>
              </w:rPr>
              <w:br/>
              <w:t>};</w:t>
            </w:r>
          </w:p>
        </w:tc>
      </w:tr>
    </w:tbl>
    <w:p w14:paraId="09F535FA" w14:textId="77777777" w:rsidR="002A3865" w:rsidRDefault="002A3865"/>
    <w:p w14:paraId="1F24611C" w14:textId="77777777" w:rsidR="002A3865" w:rsidRPr="00183D98" w:rsidRDefault="00000000">
      <w:pPr>
        <w:rPr>
          <w:lang w:val="es-MX"/>
        </w:rPr>
      </w:pPr>
      <w:r w:rsidRPr="00183D98">
        <w:rPr>
          <w:lang w:val="es-MX"/>
        </w:rPr>
        <w:t xml:space="preserve">En proyectos JavaScript puede utilizarse </w:t>
      </w:r>
      <w:proofErr w:type="spellStart"/>
      <w:r w:rsidRPr="00183D98">
        <w:rPr>
          <w:lang w:val="es-MX"/>
        </w:rPr>
        <w:t>JSDoc</w:t>
      </w:r>
      <w:proofErr w:type="spellEnd"/>
      <w:r w:rsidRPr="00183D98">
        <w:rPr>
          <w:lang w:val="es-MX"/>
        </w:rPr>
        <w:t xml:space="preserve"> para documentar el contrato esperado, aunque la validación de los valores sigue siendo responsabilidad de la aplicación o de una capa de configuración.</w:t>
      </w:r>
    </w:p>
    <w:p w14:paraId="51AE25DE" w14:textId="77777777" w:rsidR="002A3865" w:rsidRPr="005F6033" w:rsidRDefault="00000000" w:rsidP="00183D98">
      <w:pPr>
        <w:pStyle w:val="Ttulo2"/>
        <w:rPr>
          <w:lang w:val="es-MX"/>
        </w:rPr>
      </w:pPr>
      <w:r w:rsidRPr="005F6033">
        <w:rPr>
          <w:lang w:val="es-MX"/>
        </w:rPr>
        <w:t>3. Seguridad y Control de Versiones</w:t>
      </w:r>
    </w:p>
    <w:p w14:paraId="20EFA66B" w14:textId="77777777" w:rsidR="002A3865" w:rsidRPr="00183D98" w:rsidRDefault="00000000" w:rsidP="00183D98">
      <w:pPr>
        <w:pStyle w:val="Ttulo3"/>
        <w:rPr>
          <w:lang w:val="es-MX"/>
        </w:rPr>
      </w:pPr>
      <w:r w:rsidRPr="00183D98">
        <w:rPr>
          <w:lang w:val="es-MX"/>
        </w:rPr>
        <w:t>3.1 Por qué nunca deben subirse credenciales reales</w:t>
      </w:r>
    </w:p>
    <w:p w14:paraId="24D01883" w14:textId="77777777" w:rsidR="002A3865" w:rsidRPr="00183D98" w:rsidRDefault="00000000">
      <w:pPr>
        <w:rPr>
          <w:lang w:val="es-MX"/>
        </w:rPr>
      </w:pPr>
      <w:r w:rsidRPr="00183D98">
        <w:rPr>
          <w:lang w:val="es-MX"/>
        </w:rPr>
        <w:t xml:space="preserve">Un repositorio Git debe considerarse un canal de distribución para todos los miembros con acceso y, si es público, para Internet. Un </w:t>
      </w:r>
      <w:proofErr w:type="gramStart"/>
      <w:r w:rsidRPr="00183D98">
        <w:rPr>
          <w:lang w:val="es-MX"/>
        </w:rPr>
        <w:t>archivo .</w:t>
      </w:r>
      <w:proofErr w:type="spellStart"/>
      <w:r w:rsidRPr="00183D98">
        <w:rPr>
          <w:lang w:val="es-MX"/>
        </w:rPr>
        <w:t>env</w:t>
      </w:r>
      <w:proofErr w:type="spellEnd"/>
      <w:proofErr w:type="gramEnd"/>
      <w:r w:rsidRPr="00183D98">
        <w:rPr>
          <w:lang w:val="es-MX"/>
        </w:rPr>
        <w:t xml:space="preserve"> con credenciales reales puede exponer claves de servicios, tokens de despliegue o información de infraestructura. Además, eliminar el archivo posteriormente no elimina automáticamente el secreto del historial de Git ni de clones, </w:t>
      </w:r>
      <w:proofErr w:type="spellStart"/>
      <w:r w:rsidRPr="00183D98">
        <w:rPr>
          <w:lang w:val="es-MX"/>
        </w:rPr>
        <w:t>forks</w:t>
      </w:r>
      <w:proofErr w:type="spellEnd"/>
      <w:r w:rsidRPr="00183D98">
        <w:rPr>
          <w:lang w:val="es-MX"/>
        </w:rPr>
        <w:t>, caches o registros de terceros.</w:t>
      </w:r>
    </w:p>
    <w:p w14:paraId="5E49118F" w14:textId="77777777" w:rsidR="002A3865" w:rsidRPr="00183D98" w:rsidRDefault="00000000">
      <w:pPr>
        <w:pStyle w:val="Listaconvietas"/>
        <w:rPr>
          <w:lang w:val="es-MX"/>
        </w:rPr>
      </w:pPr>
      <w:r w:rsidRPr="00183D98">
        <w:rPr>
          <w:lang w:val="es-MX"/>
        </w:rPr>
        <w:t xml:space="preserve">No almacenar contraseñas, claves privadas ni tokens privilegiados en código </w:t>
      </w:r>
      <w:proofErr w:type="spellStart"/>
      <w:r w:rsidRPr="00183D98">
        <w:rPr>
          <w:lang w:val="es-MX"/>
        </w:rPr>
        <w:t>frontend</w:t>
      </w:r>
      <w:proofErr w:type="spellEnd"/>
      <w:r w:rsidRPr="00183D98">
        <w:rPr>
          <w:lang w:val="es-MX"/>
        </w:rPr>
        <w:t>.</w:t>
      </w:r>
    </w:p>
    <w:p w14:paraId="34338F17" w14:textId="77777777" w:rsidR="002A3865" w:rsidRPr="00183D98" w:rsidRDefault="00000000">
      <w:pPr>
        <w:pStyle w:val="Listaconvietas"/>
        <w:rPr>
          <w:lang w:val="es-MX"/>
        </w:rPr>
      </w:pPr>
      <w:r w:rsidRPr="00183D98">
        <w:rPr>
          <w:lang w:val="es-MX"/>
        </w:rPr>
        <w:t>No utilizar variables VITE_ para secretos: cualquier valor expuesto al cliente debe considerarse público.</w:t>
      </w:r>
    </w:p>
    <w:p w14:paraId="39052DA9" w14:textId="77777777" w:rsidR="002A3865" w:rsidRPr="00183D98" w:rsidRDefault="00000000">
      <w:pPr>
        <w:pStyle w:val="Listaconvietas"/>
        <w:rPr>
          <w:lang w:val="es-MX"/>
        </w:rPr>
      </w:pPr>
      <w:r w:rsidRPr="00183D98">
        <w:rPr>
          <w:lang w:val="es-MX"/>
        </w:rPr>
        <w:lastRenderedPageBreak/>
        <w:t>Si una credencial se filtra, revocarla y rotarla inmediatamente; no basta con eliminarla del archivo actual.</w:t>
      </w:r>
    </w:p>
    <w:p w14:paraId="16B5911A" w14:textId="77777777" w:rsidR="002A3865" w:rsidRPr="00183D98" w:rsidRDefault="00000000">
      <w:pPr>
        <w:pStyle w:val="Listaconvietas"/>
        <w:rPr>
          <w:lang w:val="es-MX"/>
        </w:rPr>
      </w:pPr>
      <w:r w:rsidRPr="00183D98">
        <w:rPr>
          <w:lang w:val="es-MX"/>
        </w:rPr>
        <w:t>Usar gestores de secretos o variables protegidas del proveedor de CI/CD para valores del servidor y del proceso de despliegue.</w:t>
      </w:r>
    </w:p>
    <w:p w14:paraId="4E8C4AB7" w14:textId="77777777" w:rsidR="002A3865" w:rsidRPr="00183D98" w:rsidRDefault="00000000" w:rsidP="00183D98">
      <w:pPr>
        <w:pStyle w:val="Ttulo3"/>
        <w:rPr>
          <w:lang w:val="es-MX"/>
        </w:rPr>
      </w:pPr>
      <w:r w:rsidRPr="00183D98">
        <w:rPr>
          <w:lang w:val="es-MX"/>
        </w:rPr>
        <w:t xml:space="preserve">3.2 El </w:t>
      </w:r>
      <w:proofErr w:type="gramStart"/>
      <w:r w:rsidRPr="00183D98">
        <w:rPr>
          <w:lang w:val="es-MX"/>
        </w:rPr>
        <w:t>archivo .</w:t>
      </w:r>
      <w:proofErr w:type="spellStart"/>
      <w:r w:rsidRPr="00183D98">
        <w:rPr>
          <w:lang w:val="es-MX"/>
        </w:rPr>
        <w:t>gitignore</w:t>
      </w:r>
      <w:proofErr w:type="spellEnd"/>
      <w:proofErr w:type="gramEnd"/>
    </w:p>
    <w:p w14:paraId="771B3820" w14:textId="77777777" w:rsidR="002A3865" w:rsidRPr="00183D98" w:rsidRDefault="00000000">
      <w:pPr>
        <w:rPr>
          <w:lang w:val="es-MX"/>
        </w:rPr>
      </w:pPr>
      <w:proofErr w:type="gramStart"/>
      <w:r w:rsidRPr="00183D98">
        <w:rPr>
          <w:lang w:val="es-MX"/>
        </w:rPr>
        <w:t>.</w:t>
      </w:r>
      <w:proofErr w:type="spellStart"/>
      <w:r w:rsidRPr="00183D98">
        <w:rPr>
          <w:lang w:val="es-MX"/>
        </w:rPr>
        <w:t>gitignore</w:t>
      </w:r>
      <w:proofErr w:type="spellEnd"/>
      <w:proofErr w:type="gramEnd"/>
      <w:r w:rsidRPr="00183D98">
        <w:rPr>
          <w:lang w:val="es-MX"/>
        </w:rPr>
        <w:t xml:space="preserve"> contiene patrones que indican a Git qué archivos no debe añadir como nuevos archivos no rastreados. No elimina archivos que ya están siendo rastreados: si </w:t>
      </w:r>
      <w:proofErr w:type="gramStart"/>
      <w:r w:rsidRPr="00183D98">
        <w:rPr>
          <w:lang w:val="es-MX"/>
        </w:rPr>
        <w:t>un .</w:t>
      </w:r>
      <w:proofErr w:type="spellStart"/>
      <w:r w:rsidRPr="00183D98">
        <w:rPr>
          <w:lang w:val="es-MX"/>
        </w:rPr>
        <w:t>env</w:t>
      </w:r>
      <w:proofErr w:type="spellEnd"/>
      <w:proofErr w:type="gramEnd"/>
      <w:r w:rsidRPr="00183D98">
        <w:rPr>
          <w:lang w:val="es-MX"/>
        </w:rPr>
        <w:t xml:space="preserve"> sensible ya fue confirmado, debe retirarse explícitamente del índice y tratar la credencial como potencialmente comprometida.</w:t>
      </w:r>
    </w:p>
    <w:p w14:paraId="6A45282C" w14:textId="77777777" w:rsidR="002A3865" w:rsidRPr="00183D98" w:rsidRDefault="00000000">
      <w:pPr>
        <w:rPr>
          <w:lang w:val="es-MX"/>
        </w:rPr>
      </w:pPr>
      <w:r w:rsidRPr="00183D98">
        <w:rPr>
          <w:lang w:val="es-MX"/>
        </w:rPr>
        <w:t>Una configuración segura y práctica es:</w:t>
      </w:r>
    </w:p>
    <w:tbl>
      <w:tblPr>
        <w:tblW w:w="0" w:type="auto"/>
        <w:jc w:val="center"/>
        <w:tblLook w:val="04A0" w:firstRow="1" w:lastRow="0" w:firstColumn="1" w:lastColumn="0" w:noHBand="0" w:noVBand="1"/>
      </w:tblPr>
      <w:tblGrid>
        <w:gridCol w:w="10080"/>
      </w:tblGrid>
      <w:tr w:rsidR="002A3865" w:rsidRPr="005F6033" w14:paraId="2CB40FDC" w14:textId="77777777">
        <w:trPr>
          <w:jc w:val="center"/>
        </w:trPr>
        <w:tc>
          <w:tcPr>
            <w:tcW w:w="10080" w:type="dxa"/>
            <w:shd w:val="clear" w:color="auto" w:fill="F3F4F6"/>
          </w:tcPr>
          <w:p w14:paraId="7A230642" w14:textId="77777777" w:rsidR="002A3865" w:rsidRPr="00183D98" w:rsidRDefault="00000000">
            <w:pPr>
              <w:spacing w:before="60" w:after="60"/>
              <w:rPr>
                <w:lang w:val="es-MX"/>
              </w:rPr>
            </w:pPr>
            <w:r w:rsidRPr="00183D98">
              <w:rPr>
                <w:rFonts w:ascii="Consolas" w:hAnsi="Consolas"/>
                <w:sz w:val="17"/>
                <w:lang w:val="es-MX"/>
              </w:rPr>
              <w:t># Ignorar archivos de entorno</w:t>
            </w:r>
            <w:r w:rsidRPr="00183D98">
              <w:rPr>
                <w:rFonts w:ascii="Consolas" w:hAnsi="Consolas"/>
                <w:sz w:val="17"/>
                <w:lang w:val="es-MX"/>
              </w:rPr>
              <w:br/>
              <w:t>.</w:t>
            </w:r>
            <w:proofErr w:type="spellStart"/>
            <w:r w:rsidRPr="00183D98">
              <w:rPr>
                <w:rFonts w:ascii="Consolas" w:hAnsi="Consolas"/>
                <w:sz w:val="17"/>
                <w:lang w:val="es-MX"/>
              </w:rPr>
              <w:t>env</w:t>
            </w:r>
            <w:proofErr w:type="spellEnd"/>
            <w:r w:rsidRPr="00183D98">
              <w:rPr>
                <w:rFonts w:ascii="Consolas" w:hAnsi="Consolas"/>
                <w:sz w:val="17"/>
                <w:lang w:val="es-MX"/>
              </w:rPr>
              <w:br/>
              <w:t>.</w:t>
            </w:r>
            <w:proofErr w:type="spellStart"/>
            <w:r w:rsidRPr="00183D98">
              <w:rPr>
                <w:rFonts w:ascii="Consolas" w:hAnsi="Consolas"/>
                <w:sz w:val="17"/>
                <w:lang w:val="es-MX"/>
              </w:rPr>
              <w:t>env</w:t>
            </w:r>
            <w:proofErr w:type="spellEnd"/>
            <w:r w:rsidRPr="00183D98">
              <w:rPr>
                <w:rFonts w:ascii="Consolas" w:hAnsi="Consolas"/>
                <w:sz w:val="17"/>
                <w:lang w:val="es-MX"/>
              </w:rPr>
              <w:t>.*</w:t>
            </w:r>
            <w:r w:rsidRPr="00183D98">
              <w:rPr>
                <w:rFonts w:ascii="Consolas" w:hAnsi="Consolas"/>
                <w:sz w:val="17"/>
                <w:lang w:val="es-MX"/>
              </w:rPr>
              <w:br/>
            </w:r>
            <w:proofErr w:type="gramStart"/>
            <w:r w:rsidRPr="00183D98">
              <w:rPr>
                <w:rFonts w:ascii="Consolas" w:hAnsi="Consolas"/>
                <w:sz w:val="17"/>
                <w:lang w:val="es-MX"/>
              </w:rPr>
              <w:t>!.</w:t>
            </w:r>
            <w:proofErr w:type="spellStart"/>
            <w:r w:rsidRPr="00183D98">
              <w:rPr>
                <w:rFonts w:ascii="Consolas" w:hAnsi="Consolas"/>
                <w:sz w:val="17"/>
                <w:lang w:val="es-MX"/>
              </w:rPr>
              <w:t>env</w:t>
            </w:r>
            <w:proofErr w:type="gramEnd"/>
            <w:r w:rsidRPr="00183D98">
              <w:rPr>
                <w:rFonts w:ascii="Consolas" w:hAnsi="Consolas"/>
                <w:sz w:val="17"/>
                <w:lang w:val="es-MX"/>
              </w:rPr>
              <w:t>.example</w:t>
            </w:r>
            <w:proofErr w:type="spellEnd"/>
            <w:r w:rsidRPr="00183D98">
              <w:rPr>
                <w:rFonts w:ascii="Consolas" w:hAnsi="Consolas"/>
                <w:sz w:val="17"/>
                <w:lang w:val="es-MX"/>
              </w:rPr>
              <w:br/>
            </w:r>
            <w:r w:rsidRPr="00183D98">
              <w:rPr>
                <w:rFonts w:ascii="Consolas" w:hAnsi="Consolas"/>
                <w:sz w:val="17"/>
                <w:lang w:val="es-MX"/>
              </w:rPr>
              <w:br/>
              <w:t># Alternativamente, también pueden declararse</w:t>
            </w:r>
            <w:r w:rsidRPr="00183D98">
              <w:rPr>
                <w:rFonts w:ascii="Consolas" w:hAnsi="Consolas"/>
                <w:sz w:val="17"/>
                <w:lang w:val="es-MX"/>
              </w:rPr>
              <w:br/>
              <w:t># explícitamente las variantes locales:</w:t>
            </w:r>
            <w:r w:rsidRPr="00183D98">
              <w:rPr>
                <w:rFonts w:ascii="Consolas" w:hAnsi="Consolas"/>
                <w:sz w:val="17"/>
                <w:lang w:val="es-MX"/>
              </w:rPr>
              <w:br/>
              <w:t>.</w:t>
            </w:r>
            <w:proofErr w:type="spellStart"/>
            <w:r w:rsidRPr="00183D98">
              <w:rPr>
                <w:rFonts w:ascii="Consolas" w:hAnsi="Consolas"/>
                <w:sz w:val="17"/>
                <w:lang w:val="es-MX"/>
              </w:rPr>
              <w:t>env.local</w:t>
            </w:r>
            <w:proofErr w:type="spellEnd"/>
            <w:r w:rsidRPr="00183D98">
              <w:rPr>
                <w:rFonts w:ascii="Consolas" w:hAnsi="Consolas"/>
                <w:sz w:val="17"/>
                <w:lang w:val="es-MX"/>
              </w:rPr>
              <w:br/>
              <w:t>.</w:t>
            </w:r>
            <w:proofErr w:type="spellStart"/>
            <w:r w:rsidRPr="00183D98">
              <w:rPr>
                <w:rFonts w:ascii="Consolas" w:hAnsi="Consolas"/>
                <w:sz w:val="17"/>
                <w:lang w:val="es-MX"/>
              </w:rPr>
              <w:t>env.</w:t>
            </w:r>
            <w:proofErr w:type="gramStart"/>
            <w:r w:rsidRPr="00183D98">
              <w:rPr>
                <w:rFonts w:ascii="Consolas" w:hAnsi="Consolas"/>
                <w:sz w:val="17"/>
                <w:lang w:val="es-MX"/>
              </w:rPr>
              <w:t>development.local</w:t>
            </w:r>
            <w:proofErr w:type="spellEnd"/>
            <w:proofErr w:type="gramEnd"/>
            <w:r w:rsidRPr="00183D98">
              <w:rPr>
                <w:rFonts w:ascii="Consolas" w:hAnsi="Consolas"/>
                <w:sz w:val="17"/>
                <w:lang w:val="es-MX"/>
              </w:rPr>
              <w:br/>
              <w:t>.</w:t>
            </w:r>
            <w:proofErr w:type="spellStart"/>
            <w:r w:rsidRPr="00183D98">
              <w:rPr>
                <w:rFonts w:ascii="Consolas" w:hAnsi="Consolas"/>
                <w:sz w:val="17"/>
                <w:lang w:val="es-MX"/>
              </w:rPr>
              <w:t>env.</w:t>
            </w:r>
            <w:proofErr w:type="gramStart"/>
            <w:r w:rsidRPr="00183D98">
              <w:rPr>
                <w:rFonts w:ascii="Consolas" w:hAnsi="Consolas"/>
                <w:sz w:val="17"/>
                <w:lang w:val="es-MX"/>
              </w:rPr>
              <w:t>production.local</w:t>
            </w:r>
            <w:proofErr w:type="spellEnd"/>
            <w:proofErr w:type="gramEnd"/>
          </w:p>
        </w:tc>
      </w:tr>
    </w:tbl>
    <w:p w14:paraId="12D12465" w14:textId="77777777" w:rsidR="002A3865" w:rsidRPr="00183D98" w:rsidRDefault="002A3865">
      <w:pPr>
        <w:rPr>
          <w:lang w:val="es-MX"/>
        </w:rPr>
      </w:pPr>
    </w:p>
    <w:p w14:paraId="7C6DF661" w14:textId="77777777" w:rsidR="002A3865" w:rsidRPr="00183D98" w:rsidRDefault="00000000">
      <w:pPr>
        <w:rPr>
          <w:lang w:val="es-MX"/>
        </w:rPr>
      </w:pPr>
      <w:r w:rsidRPr="00183D98">
        <w:rPr>
          <w:lang w:val="es-MX"/>
        </w:rPr>
        <w:t xml:space="preserve">La </w:t>
      </w:r>
      <w:proofErr w:type="gramStart"/>
      <w:r w:rsidRPr="00183D98">
        <w:rPr>
          <w:lang w:val="es-MX"/>
        </w:rPr>
        <w:t>regla .</w:t>
      </w:r>
      <w:proofErr w:type="spellStart"/>
      <w:r w:rsidRPr="00183D98">
        <w:rPr>
          <w:lang w:val="es-MX"/>
        </w:rPr>
        <w:t>env</w:t>
      </w:r>
      <w:proofErr w:type="spellEnd"/>
      <w:proofErr w:type="gramEnd"/>
      <w:r w:rsidRPr="00183D98">
        <w:rPr>
          <w:lang w:val="es-MX"/>
        </w:rPr>
        <w:t xml:space="preserve">.* ignora las variantes de entorno y la </w:t>
      </w:r>
      <w:proofErr w:type="gramStart"/>
      <w:r w:rsidRPr="00183D98">
        <w:rPr>
          <w:lang w:val="es-MX"/>
        </w:rPr>
        <w:t>excepción !.</w:t>
      </w:r>
      <w:proofErr w:type="spellStart"/>
      <w:r w:rsidRPr="00183D98">
        <w:rPr>
          <w:lang w:val="es-MX"/>
        </w:rPr>
        <w:t>env</w:t>
      </w:r>
      <w:proofErr w:type="gramEnd"/>
      <w:r w:rsidRPr="00183D98">
        <w:rPr>
          <w:lang w:val="es-MX"/>
        </w:rPr>
        <w:t>.example</w:t>
      </w:r>
      <w:proofErr w:type="spellEnd"/>
      <w:r w:rsidRPr="00183D98">
        <w:rPr>
          <w:lang w:val="es-MX"/>
        </w:rPr>
        <w:t xml:space="preserve"> permite conservar el archivo de ejemplo dentro del repositorio. El objetivo es compartir la estructura de configuración sin publicar valores sensibles.</w:t>
      </w:r>
    </w:p>
    <w:p w14:paraId="2191D037" w14:textId="77777777" w:rsidR="002A3865" w:rsidRPr="00183D98" w:rsidRDefault="00000000" w:rsidP="00183D98">
      <w:pPr>
        <w:pStyle w:val="Ttulo3"/>
        <w:rPr>
          <w:lang w:val="es-MX"/>
        </w:rPr>
      </w:pPr>
      <w:r w:rsidRPr="00183D98">
        <w:rPr>
          <w:lang w:val="es-MX"/>
        </w:rPr>
        <w:t xml:space="preserve">3.3 La buena práctica </w:t>
      </w:r>
      <w:proofErr w:type="gramStart"/>
      <w:r w:rsidRPr="00183D98">
        <w:rPr>
          <w:lang w:val="es-MX"/>
        </w:rPr>
        <w:t>de .</w:t>
      </w:r>
      <w:proofErr w:type="spellStart"/>
      <w:r w:rsidRPr="00183D98">
        <w:rPr>
          <w:lang w:val="es-MX"/>
        </w:rPr>
        <w:t>env</w:t>
      </w:r>
      <w:proofErr w:type="gramEnd"/>
      <w:r w:rsidRPr="00183D98">
        <w:rPr>
          <w:lang w:val="es-MX"/>
        </w:rPr>
        <w:t>.example</w:t>
      </w:r>
      <w:proofErr w:type="spellEnd"/>
    </w:p>
    <w:p w14:paraId="71ED93E3" w14:textId="77777777" w:rsidR="002A3865" w:rsidRPr="00183D98" w:rsidRDefault="00000000">
      <w:pPr>
        <w:rPr>
          <w:lang w:val="es-MX"/>
        </w:rPr>
      </w:pPr>
      <w:r w:rsidRPr="00183D98">
        <w:rPr>
          <w:lang w:val="es-MX"/>
        </w:rPr>
        <w:t xml:space="preserve">El </w:t>
      </w:r>
      <w:proofErr w:type="gramStart"/>
      <w:r w:rsidRPr="00183D98">
        <w:rPr>
          <w:lang w:val="es-MX"/>
        </w:rPr>
        <w:t>archivo .</w:t>
      </w:r>
      <w:proofErr w:type="spellStart"/>
      <w:r w:rsidRPr="00183D98">
        <w:rPr>
          <w:lang w:val="es-MX"/>
        </w:rPr>
        <w:t>env</w:t>
      </w:r>
      <w:proofErr w:type="gramEnd"/>
      <w:r w:rsidRPr="00183D98">
        <w:rPr>
          <w:lang w:val="es-MX"/>
        </w:rPr>
        <w:t>.example</w:t>
      </w:r>
      <w:proofErr w:type="spellEnd"/>
      <w:r w:rsidRPr="00183D98">
        <w:rPr>
          <w:lang w:val="es-MX"/>
        </w:rPr>
        <w:t xml:space="preserve"> funciona como plantilla y contrato de configuración. Debe contener todas las variables necesarias para ejecutar el proyecto, pero con valores ficticios, vacíos o seguros para compartir.</w:t>
      </w:r>
    </w:p>
    <w:tbl>
      <w:tblPr>
        <w:tblW w:w="0" w:type="auto"/>
        <w:jc w:val="center"/>
        <w:tblLook w:val="04A0" w:firstRow="1" w:lastRow="0" w:firstColumn="1" w:lastColumn="0" w:noHBand="0" w:noVBand="1"/>
      </w:tblPr>
      <w:tblGrid>
        <w:gridCol w:w="10080"/>
      </w:tblGrid>
      <w:tr w:rsidR="002A3865" w:rsidRPr="005F6033" w14:paraId="78D753D6" w14:textId="77777777">
        <w:trPr>
          <w:jc w:val="center"/>
        </w:trPr>
        <w:tc>
          <w:tcPr>
            <w:tcW w:w="10080" w:type="dxa"/>
            <w:shd w:val="clear" w:color="auto" w:fill="F3F4F6"/>
          </w:tcPr>
          <w:p w14:paraId="424F575D" w14:textId="77777777" w:rsidR="002A3865" w:rsidRPr="00183D98" w:rsidRDefault="00000000">
            <w:pPr>
              <w:spacing w:before="60" w:after="60"/>
              <w:rPr>
                <w:lang w:val="es-MX"/>
              </w:rPr>
            </w:pPr>
            <w:proofErr w:type="gramStart"/>
            <w:r w:rsidRPr="00183D98">
              <w:rPr>
                <w:rFonts w:ascii="Consolas" w:hAnsi="Consolas"/>
                <w:sz w:val="17"/>
                <w:lang w:val="es-MX"/>
              </w:rPr>
              <w:t># .</w:t>
            </w:r>
            <w:proofErr w:type="spellStart"/>
            <w:r w:rsidRPr="00183D98">
              <w:rPr>
                <w:rFonts w:ascii="Consolas" w:hAnsi="Consolas"/>
                <w:sz w:val="17"/>
                <w:lang w:val="es-MX"/>
              </w:rPr>
              <w:t>env</w:t>
            </w:r>
            <w:proofErr w:type="gramEnd"/>
            <w:r w:rsidRPr="00183D98">
              <w:rPr>
                <w:rFonts w:ascii="Consolas" w:hAnsi="Consolas"/>
                <w:sz w:val="17"/>
                <w:lang w:val="es-MX"/>
              </w:rPr>
              <w:t>.example</w:t>
            </w:r>
            <w:proofErr w:type="spellEnd"/>
            <w:r w:rsidRPr="00183D98">
              <w:rPr>
                <w:rFonts w:ascii="Consolas" w:hAnsi="Consolas"/>
                <w:sz w:val="17"/>
                <w:lang w:val="es-MX"/>
              </w:rPr>
              <w:br/>
              <w:t>VITE_API_URL=https://api.example.com</w:t>
            </w:r>
            <w:r w:rsidRPr="00183D98">
              <w:rPr>
                <w:rFonts w:ascii="Consolas" w:hAnsi="Consolas"/>
                <w:sz w:val="17"/>
                <w:lang w:val="es-MX"/>
              </w:rPr>
              <w:br/>
              <w:t>VITE_ENABLE_BETA=false</w:t>
            </w:r>
            <w:r w:rsidRPr="00183D98">
              <w:rPr>
                <w:rFonts w:ascii="Consolas" w:hAnsi="Consolas"/>
                <w:sz w:val="17"/>
                <w:lang w:val="es-MX"/>
              </w:rPr>
              <w:br/>
            </w:r>
            <w:r w:rsidRPr="00183D98">
              <w:rPr>
                <w:rFonts w:ascii="Consolas" w:hAnsi="Consolas"/>
                <w:sz w:val="17"/>
                <w:lang w:val="es-MX"/>
              </w:rPr>
              <w:br/>
              <w:t># No incluir secretos reales aquí.</w:t>
            </w:r>
            <w:r w:rsidRPr="00183D98">
              <w:rPr>
                <w:rFonts w:ascii="Consolas" w:hAnsi="Consolas"/>
                <w:sz w:val="17"/>
                <w:lang w:val="es-MX"/>
              </w:rPr>
              <w:br/>
              <w:t xml:space="preserve"># Los secretos del </w:t>
            </w:r>
            <w:proofErr w:type="spellStart"/>
            <w:r w:rsidRPr="00183D98">
              <w:rPr>
                <w:rFonts w:ascii="Consolas" w:hAnsi="Consolas"/>
                <w:sz w:val="17"/>
                <w:lang w:val="es-MX"/>
              </w:rPr>
              <w:t>backend</w:t>
            </w:r>
            <w:proofErr w:type="spellEnd"/>
            <w:r w:rsidRPr="00183D98">
              <w:rPr>
                <w:rFonts w:ascii="Consolas" w:hAnsi="Consolas"/>
                <w:sz w:val="17"/>
                <w:lang w:val="es-MX"/>
              </w:rPr>
              <w:t xml:space="preserve"> deben configurarse en el</w:t>
            </w:r>
            <w:r w:rsidRPr="00183D98">
              <w:rPr>
                <w:rFonts w:ascii="Consolas" w:hAnsi="Consolas"/>
                <w:sz w:val="17"/>
                <w:lang w:val="es-MX"/>
              </w:rPr>
              <w:br/>
              <w:t># proveedor de hosting, gestor de secretos o CI/CD.</w:t>
            </w:r>
          </w:p>
        </w:tc>
      </w:tr>
    </w:tbl>
    <w:p w14:paraId="77B83CC3" w14:textId="77777777" w:rsidR="002A3865" w:rsidRPr="00183D98" w:rsidRDefault="002A3865">
      <w:pPr>
        <w:rPr>
          <w:lang w:val="es-MX"/>
        </w:rPr>
      </w:pPr>
    </w:p>
    <w:p w14:paraId="72000723" w14:textId="77777777" w:rsidR="002A3865" w:rsidRPr="00183D98" w:rsidRDefault="00000000">
      <w:pPr>
        <w:rPr>
          <w:lang w:val="es-MX"/>
        </w:rPr>
      </w:pPr>
      <w:r w:rsidRPr="00183D98">
        <w:rPr>
          <w:lang w:val="es-MX"/>
        </w:rPr>
        <w:t xml:space="preserve">Un desarrollador que incorpora al proyecto puede copiar esta plantilla y crear su propio archivo local. Por ejemplo, </w:t>
      </w:r>
      <w:proofErr w:type="spellStart"/>
      <w:proofErr w:type="gramStart"/>
      <w:r w:rsidRPr="00183D98">
        <w:rPr>
          <w:lang w:val="es-MX"/>
        </w:rPr>
        <w:t>cp</w:t>
      </w:r>
      <w:proofErr w:type="spellEnd"/>
      <w:r w:rsidRPr="00183D98">
        <w:rPr>
          <w:lang w:val="es-MX"/>
        </w:rPr>
        <w:t xml:space="preserve"> .</w:t>
      </w:r>
      <w:proofErr w:type="spellStart"/>
      <w:r w:rsidRPr="00183D98">
        <w:rPr>
          <w:lang w:val="es-MX"/>
        </w:rPr>
        <w:t>env</w:t>
      </w:r>
      <w:proofErr w:type="gramEnd"/>
      <w:r w:rsidRPr="00183D98">
        <w:rPr>
          <w:lang w:val="es-MX"/>
        </w:rPr>
        <w:t>.</w:t>
      </w:r>
      <w:proofErr w:type="gramStart"/>
      <w:r w:rsidRPr="00183D98">
        <w:rPr>
          <w:lang w:val="es-MX"/>
        </w:rPr>
        <w:t>example</w:t>
      </w:r>
      <w:proofErr w:type="spellEnd"/>
      <w:r w:rsidRPr="00183D98">
        <w:rPr>
          <w:lang w:val="es-MX"/>
        </w:rPr>
        <w:t xml:space="preserve"> .</w:t>
      </w:r>
      <w:proofErr w:type="spellStart"/>
      <w:r w:rsidRPr="00183D98">
        <w:rPr>
          <w:lang w:val="es-MX"/>
        </w:rPr>
        <w:t>env</w:t>
      </w:r>
      <w:proofErr w:type="gramEnd"/>
      <w:r w:rsidRPr="00183D98">
        <w:rPr>
          <w:lang w:val="es-MX"/>
        </w:rPr>
        <w:t>.local</w:t>
      </w:r>
      <w:proofErr w:type="spellEnd"/>
      <w:r w:rsidRPr="00183D98">
        <w:rPr>
          <w:lang w:val="es-MX"/>
        </w:rPr>
        <w:t xml:space="preserve"> en sistemas compatibles. El equipo obtiene así un punto de partida uniforme, mientras que cada entorno mantiene sus propios valores.</w:t>
      </w:r>
    </w:p>
    <w:p w14:paraId="061EC520" w14:textId="77777777" w:rsidR="002A3865" w:rsidRPr="00183D98" w:rsidRDefault="00000000" w:rsidP="00183D98">
      <w:pPr>
        <w:pStyle w:val="Subttulo"/>
        <w:rPr>
          <w:lang w:val="es-MX"/>
        </w:rPr>
      </w:pPr>
      <w:r w:rsidRPr="00183D98">
        <w:rPr>
          <w:lang w:val="es-MX"/>
        </w:rPr>
        <w:t>Conclusión</w:t>
      </w:r>
    </w:p>
    <w:p w14:paraId="657D1665" w14:textId="77777777" w:rsidR="002A3865" w:rsidRPr="00183D98" w:rsidRDefault="00000000">
      <w:pPr>
        <w:rPr>
          <w:lang w:val="es-MX"/>
        </w:rPr>
      </w:pPr>
      <w:r w:rsidRPr="00183D98">
        <w:rPr>
          <w:lang w:val="es-MX"/>
        </w:rPr>
        <w:t>El manejo de variables de entorno en Vite combina una necesidad de arquitectura con una frontera de seguridad. Las variables permiten que una misma base de código funcione en distintos entornos sin incorporar configuraciones específicas directamente en los componentes. La convención VITE_ exige una decisión explícita antes de exponer valores al navegador, pero no debe interpretarse como un sistema de almacenamiento de secretos.</w:t>
      </w:r>
    </w:p>
    <w:p w14:paraId="0AD0FC42" w14:textId="77777777" w:rsidR="002A3865" w:rsidRPr="00183D98" w:rsidRDefault="00000000">
      <w:pPr>
        <w:rPr>
          <w:lang w:val="es-MX"/>
        </w:rPr>
      </w:pPr>
      <w:r w:rsidRPr="00183D98">
        <w:rPr>
          <w:lang w:val="es-MX"/>
        </w:rPr>
        <w:t xml:space="preserve">La estrategia recomendada es sencilla: versionar únicamente ejemplos de configuración, ignorar los archivos con valores reales, </w:t>
      </w:r>
      <w:proofErr w:type="gramStart"/>
      <w:r w:rsidRPr="00183D98">
        <w:rPr>
          <w:lang w:val="es-MX"/>
        </w:rPr>
        <w:t>usar .</w:t>
      </w:r>
      <w:proofErr w:type="spellStart"/>
      <w:r w:rsidRPr="00183D98">
        <w:rPr>
          <w:lang w:val="es-MX"/>
        </w:rPr>
        <w:t>env</w:t>
      </w:r>
      <w:proofErr w:type="gramEnd"/>
      <w:r w:rsidRPr="00183D98">
        <w:rPr>
          <w:lang w:val="es-MX"/>
        </w:rPr>
        <w:t>.local</w:t>
      </w:r>
      <w:proofErr w:type="spellEnd"/>
      <w:r w:rsidRPr="00183D98">
        <w:rPr>
          <w:lang w:val="es-MX"/>
        </w:rPr>
        <w:t xml:space="preserve"> para configuraciones específicas de la máquina y reservar las credenciales sensibles para el </w:t>
      </w:r>
      <w:proofErr w:type="spellStart"/>
      <w:r w:rsidRPr="00183D98">
        <w:rPr>
          <w:lang w:val="es-MX"/>
        </w:rPr>
        <w:t>backend</w:t>
      </w:r>
      <w:proofErr w:type="spellEnd"/>
      <w:r w:rsidRPr="00183D98">
        <w:rPr>
          <w:lang w:val="es-MX"/>
        </w:rPr>
        <w:t xml:space="preserve">, la infraestructura o un gestor de secretos. En aplicaciones profesionales, esta disciplina debe </w:t>
      </w:r>
      <w:r w:rsidRPr="00183D98">
        <w:rPr>
          <w:lang w:val="es-MX"/>
        </w:rPr>
        <w:lastRenderedPageBreak/>
        <w:t>complementarse con validación de configuración, revisión de cambios, rotación de credenciales y controles del sistema de CI/CD. De este modo, Vite puede mantener una configuración flexible sin comprometer la seguridad del código ni de la infraestructura.</w:t>
      </w:r>
    </w:p>
    <w:sectPr w:rsidR="002A3865" w:rsidRPr="00183D98"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FD145" w14:textId="77777777" w:rsidR="0095306D" w:rsidRDefault="0095306D">
      <w:pPr>
        <w:spacing w:after="0" w:line="240" w:lineRule="auto"/>
      </w:pPr>
      <w:r>
        <w:separator/>
      </w:r>
    </w:p>
  </w:endnote>
  <w:endnote w:type="continuationSeparator" w:id="0">
    <w:p w14:paraId="09EAC6E7" w14:textId="77777777" w:rsidR="0095306D" w:rsidRDefault="00953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380F1" w14:textId="5BA69D64" w:rsidR="002A3865" w:rsidRPr="00183D98" w:rsidRDefault="002A3865">
    <w:pPr>
      <w:pStyle w:val="Piedepgina"/>
      <w:jc w:val="center"/>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3727D" w14:textId="77777777" w:rsidR="0095306D" w:rsidRDefault="0095306D">
      <w:pPr>
        <w:spacing w:after="0" w:line="240" w:lineRule="auto"/>
      </w:pPr>
      <w:r>
        <w:separator/>
      </w:r>
    </w:p>
  </w:footnote>
  <w:footnote w:type="continuationSeparator" w:id="0">
    <w:p w14:paraId="084DDE3C" w14:textId="77777777" w:rsidR="0095306D" w:rsidRDefault="00953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82602619">
    <w:abstractNumId w:val="8"/>
  </w:num>
  <w:num w:numId="2" w16cid:durableId="1092161878">
    <w:abstractNumId w:val="6"/>
  </w:num>
  <w:num w:numId="3" w16cid:durableId="691758387">
    <w:abstractNumId w:val="5"/>
  </w:num>
  <w:num w:numId="4" w16cid:durableId="243345131">
    <w:abstractNumId w:val="4"/>
  </w:num>
  <w:num w:numId="5" w16cid:durableId="702826449">
    <w:abstractNumId w:val="7"/>
  </w:num>
  <w:num w:numId="6" w16cid:durableId="1492214450">
    <w:abstractNumId w:val="3"/>
  </w:num>
  <w:num w:numId="7" w16cid:durableId="1306811693">
    <w:abstractNumId w:val="2"/>
  </w:num>
  <w:num w:numId="8" w16cid:durableId="612632702">
    <w:abstractNumId w:val="1"/>
  </w:num>
  <w:num w:numId="9" w16cid:durableId="125162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D98"/>
    <w:rsid w:val="0029639D"/>
    <w:rsid w:val="002A3865"/>
    <w:rsid w:val="00326F90"/>
    <w:rsid w:val="003A3AF7"/>
    <w:rsid w:val="005F6033"/>
    <w:rsid w:val="00865959"/>
    <w:rsid w:val="0095306D"/>
    <w:rsid w:val="00AA1D8D"/>
    <w:rsid w:val="00B47730"/>
    <w:rsid w:val="00C6334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33FDE"/>
  <w14:defaultImageDpi w14:val="300"/>
  <w15:docId w15:val="{850A0F6F-E7A3-4C00-B8BA-E721A81AC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D4D4D4"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D4D4D4"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C6C6C6" w:themeColor="text1"/>
    </w:rPr>
  </w:style>
  <w:style w:type="character" w:customStyle="1" w:styleId="CitaCar">
    <w:name w:val="Cita Car"/>
    <w:basedOn w:val="Fuentedeprrafopredeter"/>
    <w:link w:val="Cita"/>
    <w:uiPriority w:val="29"/>
    <w:rsid w:val="00FC693F"/>
    <w:rPr>
      <w:i/>
      <w:iCs/>
      <w:color w:val="C6C6C6"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D4D4D4"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D4D4D4"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E2E2E2"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949494" w:themeColor="text1" w:themeShade="BF"/>
    </w:rPr>
    <w:tblPr>
      <w:tblStyleRowBandSize w:val="1"/>
      <w:tblStyleColBandSize w:val="1"/>
      <w:tblBorders>
        <w:top w:val="single" w:sz="8" w:space="0" w:color="C6C6C6" w:themeColor="text1"/>
        <w:bottom w:val="single" w:sz="8" w:space="0" w:color="C6C6C6" w:themeColor="text1"/>
      </w:tblBorders>
    </w:tblPr>
    <w:tblStylePr w:type="firstRow">
      <w:pPr>
        <w:spacing w:before="0" w:after="0" w:line="240" w:lineRule="auto"/>
      </w:pPr>
      <w:rPr>
        <w:b/>
        <w:bCs/>
      </w:rPr>
      <w:tblPr/>
      <w:tcPr>
        <w:tcBorders>
          <w:top w:val="single" w:sz="8" w:space="0" w:color="C6C6C6" w:themeColor="text1"/>
          <w:left w:val="nil"/>
          <w:bottom w:val="single" w:sz="8" w:space="0" w:color="C6C6C6" w:themeColor="text1"/>
          <w:right w:val="nil"/>
          <w:insideH w:val="nil"/>
          <w:insideV w:val="nil"/>
        </w:tcBorders>
      </w:tcPr>
    </w:tblStylePr>
    <w:tblStylePr w:type="lastRow">
      <w:pPr>
        <w:spacing w:before="0" w:after="0" w:line="240" w:lineRule="auto"/>
      </w:pPr>
      <w:rPr>
        <w:b/>
        <w:bCs/>
      </w:rPr>
      <w:tblPr/>
      <w:tcPr>
        <w:tcBorders>
          <w:top w:val="single" w:sz="8" w:space="0" w:color="C6C6C6" w:themeColor="text1"/>
          <w:left w:val="nil"/>
          <w:bottom w:val="single" w:sz="8" w:space="0" w:color="C6C6C6"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0F0" w:themeFill="text1" w:themeFillTint="3F"/>
      </w:tcPr>
    </w:tblStylePr>
    <w:tblStylePr w:type="band1Horz">
      <w:tblPr/>
      <w:tcPr>
        <w:tcBorders>
          <w:left w:val="nil"/>
          <w:right w:val="nil"/>
          <w:insideH w:val="nil"/>
          <w:insideV w:val="nil"/>
        </w:tcBorders>
        <w:shd w:val="clear" w:color="auto" w:fill="F0F0F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tblBorders>
    </w:tblPr>
    <w:tblStylePr w:type="firstRow">
      <w:pPr>
        <w:spacing w:before="0" w:after="0" w:line="240" w:lineRule="auto"/>
      </w:pPr>
      <w:rPr>
        <w:b/>
        <w:bCs/>
        <w:color w:val="000000" w:themeColor="background1"/>
      </w:rPr>
      <w:tblPr/>
      <w:tcPr>
        <w:shd w:val="clear" w:color="auto" w:fill="C6C6C6" w:themeFill="text1"/>
      </w:tcPr>
    </w:tblStylePr>
    <w:tblStylePr w:type="lastRow">
      <w:pPr>
        <w:spacing w:before="0" w:after="0" w:line="240" w:lineRule="auto"/>
      </w:pPr>
      <w:rPr>
        <w:b/>
        <w:bCs/>
      </w:rPr>
      <w:tblPr/>
      <w:tcPr>
        <w:tcBorders>
          <w:top w:val="double" w:sz="6" w:space="0" w:color="C6C6C6" w:themeColor="text1"/>
          <w:left w:val="single" w:sz="8" w:space="0" w:color="C6C6C6" w:themeColor="text1"/>
          <w:bottom w:val="single" w:sz="8" w:space="0" w:color="C6C6C6" w:themeColor="text1"/>
          <w:right w:val="single" w:sz="8" w:space="0" w:color="C6C6C6" w:themeColor="text1"/>
        </w:tcBorders>
      </w:tcPr>
    </w:tblStylePr>
    <w:tblStylePr w:type="firstCol">
      <w:rPr>
        <w:b/>
        <w:bCs/>
      </w:rPr>
    </w:tblStylePr>
    <w:tblStylePr w:type="lastCol">
      <w:rPr>
        <w:b/>
        <w:bCs/>
      </w:rPr>
    </w:tblStylePr>
    <w:tblStylePr w:type="band1Vert">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tblStylePr w:type="band1Horz">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insideH w:val="single" w:sz="8" w:space="0" w:color="C6C6C6" w:themeColor="text1"/>
        <w:insideV w:val="single" w:sz="8" w:space="0" w:color="C6C6C6"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C6C6" w:themeColor="text1"/>
          <w:left w:val="single" w:sz="8" w:space="0" w:color="C6C6C6" w:themeColor="text1"/>
          <w:bottom w:val="single" w:sz="18" w:space="0" w:color="C6C6C6" w:themeColor="text1"/>
          <w:right w:val="single" w:sz="8" w:space="0" w:color="C6C6C6" w:themeColor="text1"/>
          <w:insideH w:val="nil"/>
          <w:insideV w:val="single" w:sz="8" w:space="0" w:color="C6C6C6"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C6C6" w:themeColor="text1"/>
          <w:left w:val="single" w:sz="8" w:space="0" w:color="C6C6C6" w:themeColor="text1"/>
          <w:bottom w:val="single" w:sz="8" w:space="0" w:color="C6C6C6" w:themeColor="text1"/>
          <w:right w:val="single" w:sz="8" w:space="0" w:color="C6C6C6" w:themeColor="text1"/>
          <w:insideH w:val="nil"/>
          <w:insideV w:val="single" w:sz="8" w:space="0" w:color="C6C6C6"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tblStylePr w:type="band1Vert">
      <w:tblPr/>
      <w:tcPr>
        <w:tcBorders>
          <w:top w:val="single" w:sz="8" w:space="0" w:color="C6C6C6" w:themeColor="text1"/>
          <w:left w:val="single" w:sz="8" w:space="0" w:color="C6C6C6" w:themeColor="text1"/>
          <w:bottom w:val="single" w:sz="8" w:space="0" w:color="C6C6C6" w:themeColor="text1"/>
          <w:right w:val="single" w:sz="8" w:space="0" w:color="C6C6C6" w:themeColor="text1"/>
        </w:tcBorders>
        <w:shd w:val="clear" w:color="auto" w:fill="F0F0F0" w:themeFill="text1" w:themeFillTint="3F"/>
      </w:tcPr>
    </w:tblStylePr>
    <w:tblStylePr w:type="band1Horz">
      <w:tblPr/>
      <w:tcPr>
        <w:tcBorders>
          <w:top w:val="single" w:sz="8" w:space="0" w:color="C6C6C6" w:themeColor="text1"/>
          <w:left w:val="single" w:sz="8" w:space="0" w:color="C6C6C6" w:themeColor="text1"/>
          <w:bottom w:val="single" w:sz="8" w:space="0" w:color="C6C6C6" w:themeColor="text1"/>
          <w:right w:val="single" w:sz="8" w:space="0" w:color="C6C6C6" w:themeColor="text1"/>
          <w:insideV w:val="single" w:sz="8" w:space="0" w:color="C6C6C6" w:themeColor="text1"/>
        </w:tcBorders>
        <w:shd w:val="clear" w:color="auto" w:fill="F0F0F0" w:themeFill="text1" w:themeFillTint="3F"/>
      </w:tcPr>
    </w:tblStylePr>
    <w:tblStylePr w:type="band2Horz">
      <w:tblPr/>
      <w:tcPr>
        <w:tcBorders>
          <w:top w:val="single" w:sz="8" w:space="0" w:color="C6C6C6" w:themeColor="text1"/>
          <w:left w:val="single" w:sz="8" w:space="0" w:color="C6C6C6" w:themeColor="text1"/>
          <w:bottom w:val="single" w:sz="8" w:space="0" w:color="C6C6C6" w:themeColor="text1"/>
          <w:right w:val="single" w:sz="8" w:space="0" w:color="C6C6C6" w:themeColor="text1"/>
          <w:insideV w:val="single" w:sz="8" w:space="0" w:color="C6C6C6"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single" w:sz="8" w:space="0" w:color="D4D4D4" w:themeColor="text1" w:themeTint="BF"/>
      </w:tblBorders>
    </w:tblPr>
    <w:tblStylePr w:type="firstRow">
      <w:pPr>
        <w:spacing w:before="0" w:after="0" w:line="240" w:lineRule="auto"/>
      </w:pPr>
      <w:rPr>
        <w:b/>
        <w:bCs/>
        <w:color w:val="000000" w:themeColor="background1"/>
      </w:rPr>
      <w:tblPr/>
      <w:tcPr>
        <w:tc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nil"/>
          <w:insideV w:val="nil"/>
        </w:tcBorders>
        <w:shd w:val="clear" w:color="auto" w:fill="C6C6C6" w:themeFill="text1"/>
      </w:tcPr>
    </w:tblStylePr>
    <w:tblStylePr w:type="lastRow">
      <w:pPr>
        <w:spacing w:before="0" w:after="0" w:line="240" w:lineRule="auto"/>
      </w:pPr>
      <w:rPr>
        <w:b/>
        <w:bCs/>
      </w:rPr>
      <w:tblPr/>
      <w:tcPr>
        <w:tcBorders>
          <w:top w:val="double" w:sz="6"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nil"/>
          <w:insideV w:val="nil"/>
        </w:tcBorders>
      </w:tcPr>
    </w:tblStylePr>
    <w:tblStylePr w:type="firstCol">
      <w:rPr>
        <w:b/>
        <w:bCs/>
      </w:rPr>
    </w:tblStylePr>
    <w:tblStylePr w:type="lastCol">
      <w:rPr>
        <w:b/>
        <w:bCs/>
      </w:rPr>
    </w:tblStylePr>
    <w:tblStylePr w:type="band1Vert">
      <w:tblPr/>
      <w:tcPr>
        <w:shd w:val="clear" w:color="auto" w:fill="F0F0F0" w:themeFill="text1" w:themeFillTint="3F"/>
      </w:tcPr>
    </w:tblStylePr>
    <w:tblStylePr w:type="band1Horz">
      <w:tblPr/>
      <w:tcPr>
        <w:tcBorders>
          <w:insideH w:val="nil"/>
          <w:insideV w:val="nil"/>
        </w:tcBorders>
        <w:shd w:val="clear" w:color="auto" w:fill="F0F0F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6C6C6"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6C6C6" w:themeFill="text1"/>
      </w:tcPr>
    </w:tblStylePr>
    <w:tblStylePr w:type="lastCol">
      <w:rPr>
        <w:b/>
        <w:bCs/>
        <w:color w:val="000000" w:themeColor="background1"/>
      </w:rPr>
      <w:tblPr/>
      <w:tcPr>
        <w:tcBorders>
          <w:left w:val="nil"/>
          <w:right w:val="nil"/>
          <w:insideH w:val="nil"/>
          <w:insideV w:val="nil"/>
        </w:tcBorders>
        <w:shd w:val="clear" w:color="auto" w:fill="C6C6C6"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C6C6C6" w:themeColor="text1"/>
    </w:rPr>
    <w:tblPr>
      <w:tblStyleRowBandSize w:val="1"/>
      <w:tblStyleColBandSize w:val="1"/>
      <w:tblBorders>
        <w:top w:val="single" w:sz="8" w:space="0" w:color="C6C6C6" w:themeColor="text1"/>
        <w:bottom w:val="single" w:sz="8" w:space="0" w:color="C6C6C6" w:themeColor="text1"/>
      </w:tblBorders>
    </w:tblPr>
    <w:tblStylePr w:type="firstRow">
      <w:rPr>
        <w:rFonts w:asciiTheme="majorHAnsi" w:eastAsiaTheme="majorEastAsia" w:hAnsiTheme="majorHAnsi" w:cstheme="majorBidi"/>
      </w:rPr>
      <w:tblPr/>
      <w:tcPr>
        <w:tcBorders>
          <w:top w:val="nil"/>
          <w:bottom w:val="single" w:sz="8" w:space="0" w:color="C6C6C6" w:themeColor="text1"/>
        </w:tcBorders>
      </w:tcPr>
    </w:tblStylePr>
    <w:tblStylePr w:type="lastRow">
      <w:rPr>
        <w:b/>
        <w:bCs/>
        <w:color w:val="1F497D" w:themeColor="text2"/>
      </w:rPr>
      <w:tblPr/>
      <w:tcPr>
        <w:tcBorders>
          <w:top w:val="single" w:sz="8" w:space="0" w:color="C6C6C6" w:themeColor="text1"/>
          <w:bottom w:val="single" w:sz="8" w:space="0" w:color="C6C6C6" w:themeColor="text1"/>
        </w:tcBorders>
      </w:tcPr>
    </w:tblStylePr>
    <w:tblStylePr w:type="firstCol">
      <w:rPr>
        <w:b/>
        <w:bCs/>
      </w:rPr>
    </w:tblStylePr>
    <w:tblStylePr w:type="lastCol">
      <w:rPr>
        <w:b/>
        <w:bCs/>
      </w:rPr>
      <w:tblPr/>
      <w:tcPr>
        <w:tcBorders>
          <w:top w:val="single" w:sz="8" w:space="0" w:color="C6C6C6" w:themeColor="text1"/>
          <w:bottom w:val="single" w:sz="8" w:space="0" w:color="C6C6C6" w:themeColor="text1"/>
        </w:tcBorders>
      </w:tcPr>
    </w:tblStylePr>
    <w:tblStylePr w:type="band1Vert">
      <w:tblPr/>
      <w:tcPr>
        <w:shd w:val="clear" w:color="auto" w:fill="F0F0F0" w:themeFill="text1" w:themeFillTint="3F"/>
      </w:tcPr>
    </w:tblStylePr>
    <w:tblStylePr w:type="band1Horz">
      <w:tblPr/>
      <w:tcPr>
        <w:shd w:val="clear" w:color="auto" w:fill="F0F0F0" w:themeFill="text1" w:themeFillTint="3F"/>
      </w:tcPr>
    </w:tblStylePr>
  </w:style>
  <w:style w:type="table" w:styleId="Listamedia1-nfasis1">
    <w:name w:val="Medium List 1 Accent 1"/>
    <w:basedOn w:val="Tablanormal"/>
    <w:uiPriority w:val="65"/>
    <w:rsid w:val="00CB0664"/>
    <w:pPr>
      <w:spacing w:after="0" w:line="240" w:lineRule="auto"/>
    </w:pPr>
    <w:rPr>
      <w:color w:val="C6C6C6"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C6C6C6"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C6C6C6"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C6C6C6"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C6C6C6"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C6C6C6"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tblBorders>
    </w:tblPr>
    <w:tblStylePr w:type="firstRow">
      <w:rPr>
        <w:sz w:val="24"/>
        <w:szCs w:val="24"/>
      </w:rPr>
      <w:tblPr/>
      <w:tcPr>
        <w:tcBorders>
          <w:top w:val="nil"/>
          <w:left w:val="nil"/>
          <w:bottom w:val="single" w:sz="24" w:space="0" w:color="C6C6C6" w:themeColor="text1"/>
          <w:right w:val="nil"/>
          <w:insideH w:val="nil"/>
          <w:insideV w:val="nil"/>
        </w:tcBorders>
        <w:shd w:val="clear" w:color="auto" w:fill="000000" w:themeFill="background1"/>
      </w:tcPr>
    </w:tblStylePr>
    <w:tblStylePr w:type="lastRow">
      <w:tblPr/>
      <w:tcPr>
        <w:tcBorders>
          <w:top w:val="single" w:sz="8" w:space="0" w:color="C6C6C6"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6C6C6" w:themeColor="text1"/>
          <w:insideH w:val="nil"/>
          <w:insideV w:val="nil"/>
        </w:tcBorders>
        <w:shd w:val="clear" w:color="auto" w:fill="000000" w:themeFill="background1"/>
      </w:tcPr>
    </w:tblStylePr>
    <w:tblStylePr w:type="lastCol">
      <w:tblPr/>
      <w:tcPr>
        <w:tcBorders>
          <w:top w:val="nil"/>
          <w:left w:val="single" w:sz="8" w:space="0" w:color="C6C6C6"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0F0F0" w:themeFill="text1" w:themeFillTint="3F"/>
      </w:tcPr>
    </w:tblStylePr>
    <w:tblStylePr w:type="band1Horz">
      <w:tblPr/>
      <w:tcPr>
        <w:tcBorders>
          <w:top w:val="nil"/>
          <w:bottom w:val="nil"/>
          <w:insideH w:val="nil"/>
          <w:insideV w:val="nil"/>
        </w:tcBorders>
        <w:shd w:val="clear" w:color="auto" w:fill="F0F0F0"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000000" w:themeFill="background1"/>
      </w:tcPr>
    </w:tblStylePr>
    <w:tblStylePr w:type="lastRow">
      <w:tblPr/>
      <w:tcPr>
        <w:tcBorders>
          <w:top w:val="single" w:sz="8" w:space="0" w:color="4F81BD"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F81BD" w:themeColor="accent1"/>
          <w:insideH w:val="nil"/>
          <w:insideV w:val="nil"/>
        </w:tcBorders>
        <w:shd w:val="clear" w:color="auto" w:fill="000000" w:themeFill="background1"/>
      </w:tcPr>
    </w:tblStylePr>
    <w:tblStylePr w:type="lastCol">
      <w:tblPr/>
      <w:tcPr>
        <w:tcBorders>
          <w:top w:val="nil"/>
          <w:left w:val="single" w:sz="8" w:space="0" w:color="4F81BD"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tblPr/>
      <w:tcPr>
        <w:tcBorders>
          <w:top w:val="single" w:sz="8" w:space="0" w:color="C0504D"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0504D" w:themeColor="accent2"/>
          <w:insideH w:val="nil"/>
          <w:insideV w:val="nil"/>
        </w:tcBorders>
        <w:shd w:val="clear" w:color="auto" w:fill="000000" w:themeFill="background1"/>
      </w:tcPr>
    </w:tblStylePr>
    <w:tblStylePr w:type="lastCol">
      <w:tblPr/>
      <w:tcPr>
        <w:tcBorders>
          <w:top w:val="nil"/>
          <w:left w:val="single" w:sz="8" w:space="0" w:color="C0504D"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tblPr/>
      <w:tcPr>
        <w:tcBorders>
          <w:top w:val="single" w:sz="8" w:space="0" w:color="9BBB59"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9BBB59" w:themeColor="accent3"/>
          <w:insideH w:val="nil"/>
          <w:insideV w:val="nil"/>
        </w:tcBorders>
        <w:shd w:val="clear" w:color="auto" w:fill="000000" w:themeFill="background1"/>
      </w:tcPr>
    </w:tblStylePr>
    <w:tblStylePr w:type="lastCol">
      <w:tblPr/>
      <w:tcPr>
        <w:tcBorders>
          <w:top w:val="nil"/>
          <w:left w:val="single" w:sz="8" w:space="0" w:color="9BBB59"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tblPr/>
      <w:tcPr>
        <w:tcBorders>
          <w:top w:val="single" w:sz="8" w:space="0" w:color="8064A2"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8064A2" w:themeColor="accent4"/>
          <w:insideH w:val="nil"/>
          <w:insideV w:val="nil"/>
        </w:tcBorders>
        <w:shd w:val="clear" w:color="auto" w:fill="000000" w:themeFill="background1"/>
      </w:tcPr>
    </w:tblStylePr>
    <w:tblStylePr w:type="lastCol">
      <w:tblPr/>
      <w:tcPr>
        <w:tcBorders>
          <w:top w:val="nil"/>
          <w:left w:val="single" w:sz="8" w:space="0" w:color="8064A2"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tblPr/>
      <w:tcPr>
        <w:tcBorders>
          <w:top w:val="single" w:sz="8" w:space="0" w:color="4BACC6"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BACC6" w:themeColor="accent5"/>
          <w:insideH w:val="nil"/>
          <w:insideV w:val="nil"/>
        </w:tcBorders>
        <w:shd w:val="clear" w:color="auto" w:fill="000000" w:themeFill="background1"/>
      </w:tcPr>
    </w:tblStylePr>
    <w:tblStylePr w:type="lastCol">
      <w:tblPr/>
      <w:tcPr>
        <w:tcBorders>
          <w:top w:val="nil"/>
          <w:left w:val="single" w:sz="8" w:space="0" w:color="4BACC6"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tblPr/>
      <w:tcPr>
        <w:tcBorders>
          <w:top w:val="single" w:sz="8" w:space="0" w:color="F79646"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79646" w:themeColor="accent6"/>
          <w:insideH w:val="nil"/>
          <w:insideV w:val="nil"/>
        </w:tcBorders>
        <w:shd w:val="clear" w:color="auto" w:fill="000000" w:themeFill="background1"/>
      </w:tcPr>
    </w:tblStylePr>
    <w:tblStylePr w:type="lastCol">
      <w:tblPr/>
      <w:tcPr>
        <w:tcBorders>
          <w:top w:val="nil"/>
          <w:left w:val="single" w:sz="8" w:space="0" w:color="F79646"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single" w:sz="8" w:space="0" w:color="D4D4D4" w:themeColor="text1" w:themeTint="BF"/>
        <w:insideV w:val="single" w:sz="8" w:space="0" w:color="D4D4D4" w:themeColor="text1" w:themeTint="BF"/>
      </w:tblBorders>
    </w:tblPr>
    <w:tcPr>
      <w:shd w:val="clear" w:color="auto" w:fill="F0F0F0" w:themeFill="text1" w:themeFillTint="3F"/>
    </w:tcPr>
    <w:tblStylePr w:type="firstRow">
      <w:rPr>
        <w:b/>
        <w:bCs/>
      </w:rPr>
    </w:tblStylePr>
    <w:tblStylePr w:type="lastRow">
      <w:rPr>
        <w:b/>
        <w:bCs/>
      </w:rPr>
      <w:tblPr/>
      <w:tcPr>
        <w:tcBorders>
          <w:top w:val="single" w:sz="18" w:space="0" w:color="D4D4D4" w:themeColor="text1" w:themeTint="BF"/>
        </w:tcBorders>
      </w:tcPr>
    </w:tblStylePr>
    <w:tblStylePr w:type="firstCol">
      <w:rPr>
        <w:b/>
        <w:bCs/>
      </w:rPr>
    </w:tblStylePr>
    <w:tblStylePr w:type="lastCol">
      <w:rPr>
        <w:b/>
        <w:bCs/>
      </w:rPr>
    </w:tblStylePr>
    <w:tblStylePr w:type="band1Vert">
      <w:tblPr/>
      <w:tcPr>
        <w:shd w:val="clear" w:color="auto" w:fill="E2E2E2" w:themeFill="text1" w:themeFillTint="7F"/>
      </w:tcPr>
    </w:tblStylePr>
    <w:tblStylePr w:type="band1Horz">
      <w:tblPr/>
      <w:tcPr>
        <w:shd w:val="clear" w:color="auto" w:fill="E2E2E2"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insideH w:val="single" w:sz="8" w:space="0" w:color="C6C6C6" w:themeColor="text1"/>
        <w:insideV w:val="single" w:sz="8" w:space="0" w:color="C6C6C6" w:themeColor="text1"/>
      </w:tblBorders>
    </w:tblPr>
    <w:tcPr>
      <w:shd w:val="clear" w:color="auto" w:fill="F0F0F0" w:themeFill="text1" w:themeFillTint="3F"/>
    </w:tcPr>
    <w:tblStylePr w:type="firstRow">
      <w:rPr>
        <w:b/>
        <w:bCs/>
        <w:color w:val="C6C6C6" w:themeColor="text1"/>
      </w:rPr>
      <w:tblPr/>
      <w:tcPr>
        <w:shd w:val="clear" w:color="auto" w:fill="F9F9F9" w:themeFill="text1"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3F3F3" w:themeFill="text1" w:themeFillTint="33"/>
      </w:tcPr>
    </w:tblStylePr>
    <w:tblStylePr w:type="band1Vert">
      <w:tblPr/>
      <w:tcPr>
        <w:shd w:val="clear" w:color="auto" w:fill="E2E2E2" w:themeFill="text1" w:themeFillTint="7F"/>
      </w:tcPr>
    </w:tblStylePr>
    <w:tblStylePr w:type="band1Horz">
      <w:tblPr/>
      <w:tcPr>
        <w:tcBorders>
          <w:insideH w:val="single" w:sz="6" w:space="0" w:color="C6C6C6" w:themeColor="text1"/>
          <w:insideV w:val="single" w:sz="6" w:space="0" w:color="C6C6C6" w:themeColor="text1"/>
        </w:tcBorders>
        <w:shd w:val="clear" w:color="auto" w:fill="E2E2E2" w:themeFill="text1" w:themeFillTint="7F"/>
      </w:tcPr>
    </w:tblStylePr>
    <w:tblStylePr w:type="nwCell">
      <w:tblPr/>
      <w:tcPr>
        <w:shd w:val="clear" w:color="auto" w:fill="000000"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C6C6C6" w:themeColor="text1"/>
      </w:rPr>
      <w:tblPr/>
      <w:tcPr>
        <w:shd w:val="clear" w:color="auto" w:fill="EDF2F8" w:themeFill="accent1"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000000"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C6C6C6" w:themeColor="text1"/>
      </w:rPr>
      <w:tblPr/>
      <w:tcPr>
        <w:shd w:val="clear" w:color="auto" w:fill="F8EDED" w:themeFill="accent2"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000000"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C6C6C6" w:themeColor="text1"/>
      </w:rPr>
      <w:tblPr/>
      <w:tcPr>
        <w:shd w:val="clear" w:color="auto" w:fill="F5F8EE" w:themeFill="accent3"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000000"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C6C6C6" w:themeColor="text1"/>
      </w:rPr>
      <w:tblPr/>
      <w:tcPr>
        <w:shd w:val="clear" w:color="auto" w:fill="F2EFF6" w:themeFill="accent4"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000000"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C6C6C6" w:themeColor="text1"/>
      </w:rPr>
      <w:tblPr/>
      <w:tcPr>
        <w:shd w:val="clear" w:color="auto" w:fill="EDF6F9" w:themeFill="accent5"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000000"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C6C6C6" w:themeColor="text1"/>
      </w:rPr>
      <w:tblPr/>
      <w:tcPr>
        <w:shd w:val="clear" w:color="auto" w:fill="FEF4EC" w:themeFill="accent6"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000000"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0F0F0"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6C6C6"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6C6C6"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6C6C6"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6C6C6"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2E2E2"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2E2E2"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F81BD"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7BFDE"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0504D"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DFA7A6"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9BBB59"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CDDDAC"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8064A2"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BFB1D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BACC6"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5D5E2"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79646"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BCAA2"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000000" w:themeColor="background1"/>
    </w:rPr>
    <w:tblPr>
      <w:tblStyleRowBandSize w:val="1"/>
      <w:tblStyleColBandSize w:val="1"/>
    </w:tblPr>
    <w:tcPr>
      <w:shd w:val="clear" w:color="auto" w:fill="C6C6C6" w:themeFill="text1"/>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626262"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949494"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949494" w:themeFill="text1" w:themeFillShade="BF"/>
      </w:tcPr>
    </w:tblStylePr>
    <w:tblStylePr w:type="band1Vert">
      <w:tblPr/>
      <w:tcPr>
        <w:tcBorders>
          <w:top w:val="nil"/>
          <w:left w:val="nil"/>
          <w:bottom w:val="nil"/>
          <w:right w:val="nil"/>
          <w:insideH w:val="nil"/>
          <w:insideV w:val="nil"/>
        </w:tcBorders>
        <w:shd w:val="clear" w:color="auto" w:fill="949494" w:themeFill="text1" w:themeFillShade="BF"/>
      </w:tcPr>
    </w:tblStylePr>
    <w:tblStylePr w:type="band1Horz">
      <w:tblPr/>
      <w:tcPr>
        <w:tcBorders>
          <w:top w:val="nil"/>
          <w:left w:val="nil"/>
          <w:bottom w:val="nil"/>
          <w:right w:val="nil"/>
          <w:insideH w:val="nil"/>
          <w:insideV w:val="nil"/>
        </w:tcBorders>
        <w:shd w:val="clear" w:color="auto" w:fill="949494" w:themeFill="text1" w:themeFillShade="BF"/>
      </w:tcPr>
    </w:tblStylePr>
  </w:style>
  <w:style w:type="table" w:styleId="Listaoscura-nfasis1">
    <w:name w:val="Dark List Accent 1"/>
    <w:basedOn w:val="Tabla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365F91"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943634"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76923C"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5F497A"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31849B"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E36C0A"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C6C6C6" w:themeColor="text1"/>
        <w:bottom w:val="single" w:sz="4" w:space="0" w:color="C6C6C6" w:themeColor="text1"/>
        <w:right w:val="single" w:sz="4" w:space="0" w:color="C6C6C6" w:themeColor="text1"/>
        <w:insideH w:val="single" w:sz="4" w:space="0" w:color="000000" w:themeColor="background1"/>
        <w:insideV w:val="single" w:sz="4" w:space="0" w:color="000000" w:themeColor="background1"/>
      </w:tblBorders>
    </w:tblPr>
    <w:tcPr>
      <w:shd w:val="clear" w:color="auto" w:fill="F9F9F9"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67676" w:themeFill="text1" w:themeFillShade="99"/>
      </w:tcPr>
    </w:tblStylePr>
    <w:tblStylePr w:type="firstCol">
      <w:rPr>
        <w:color w:val="000000" w:themeColor="background1"/>
      </w:rPr>
      <w:tblPr/>
      <w:tcPr>
        <w:tcBorders>
          <w:top w:val="nil"/>
          <w:left w:val="nil"/>
          <w:bottom w:val="nil"/>
          <w:right w:val="nil"/>
          <w:insideH w:val="single" w:sz="4" w:space="0" w:color="767676" w:themeColor="text1" w:themeShade="99"/>
          <w:insideV w:val="nil"/>
        </w:tcBorders>
        <w:shd w:val="clear" w:color="auto" w:fill="767676"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949494" w:themeFill="text1" w:themeFillShade="BF"/>
      </w:tcPr>
    </w:tblStylePr>
    <w:tblStylePr w:type="band1Vert">
      <w:tblPr/>
      <w:tcPr>
        <w:shd w:val="clear" w:color="auto" w:fill="E8E8E8" w:themeFill="text1" w:themeFillTint="66"/>
      </w:tcPr>
    </w:tblStylePr>
    <w:tblStylePr w:type="band1Horz">
      <w:tblPr/>
      <w:tcPr>
        <w:shd w:val="clear" w:color="auto" w:fill="E2E2E2" w:themeFill="text1" w:themeFillTint="7F"/>
      </w:tcPr>
    </w:tblStylePr>
    <w:tblStylePr w:type="neCell">
      <w:rPr>
        <w:color w:val="C6C6C6" w:themeColor="text1"/>
      </w:rPr>
    </w:tblStylePr>
    <w:tblStylePr w:type="nwCell">
      <w:rPr>
        <w:color w:val="C6C6C6" w:themeColor="text1"/>
      </w:rPr>
    </w:tblStylePr>
  </w:style>
  <w:style w:type="table" w:styleId="Sombreadovistoso-nfasis1">
    <w:name w:val="Colorful Shading Accent 1"/>
    <w:basedOn w:val="Tabla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000000" w:themeColor="background1"/>
        <w:insideV w:val="single" w:sz="4" w:space="0" w:color="000000"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C6C6C6" w:themeColor="text1"/>
      </w:rPr>
    </w:tblStylePr>
    <w:tblStylePr w:type="nwCell">
      <w:rPr>
        <w:color w:val="C6C6C6" w:themeColor="text1"/>
      </w:rPr>
    </w:tblStylePr>
  </w:style>
  <w:style w:type="table" w:styleId="Sombreadovistoso-nfasis2">
    <w:name w:val="Colorful Shading Accent 2"/>
    <w:basedOn w:val="Tabla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000000" w:themeColor="background1"/>
        <w:insideV w:val="single" w:sz="4" w:space="0" w:color="000000"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C6C6C6" w:themeColor="text1"/>
      </w:rPr>
    </w:tblStylePr>
    <w:tblStylePr w:type="nwCell">
      <w:rPr>
        <w:color w:val="C6C6C6" w:themeColor="text1"/>
      </w:rPr>
    </w:tblStylePr>
  </w:style>
  <w:style w:type="table" w:styleId="Sombreadovistoso-nfasis3">
    <w:name w:val="Colorful Shading Accent 3"/>
    <w:basedOn w:val="Tablanormal"/>
    <w:uiPriority w:val="71"/>
    <w:rsid w:val="00CB0664"/>
    <w:pPr>
      <w:spacing w:after="0" w:line="240" w:lineRule="auto"/>
    </w:pPr>
    <w:rPr>
      <w:color w:val="C6C6C6"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000000" w:themeColor="background1"/>
        <w:insideV w:val="single" w:sz="4" w:space="0" w:color="000000"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C6C6C6"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000000" w:themeColor="background1"/>
        <w:insideV w:val="single" w:sz="4" w:space="0" w:color="000000"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C6C6C6" w:themeColor="text1"/>
      </w:rPr>
    </w:tblStylePr>
    <w:tblStylePr w:type="nwCell">
      <w:rPr>
        <w:color w:val="C6C6C6" w:themeColor="text1"/>
      </w:rPr>
    </w:tblStylePr>
  </w:style>
  <w:style w:type="table" w:styleId="Sombreadovistoso-nfasis5">
    <w:name w:val="Colorful Shading Accent 5"/>
    <w:basedOn w:val="Tablanormal"/>
    <w:uiPriority w:val="71"/>
    <w:rsid w:val="00CB0664"/>
    <w:pPr>
      <w:spacing w:after="0" w:line="240" w:lineRule="auto"/>
    </w:pPr>
    <w:rPr>
      <w:color w:val="C6C6C6"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000000" w:themeColor="background1"/>
        <w:insideV w:val="single" w:sz="4" w:space="0" w:color="000000"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C6C6C6" w:themeColor="text1"/>
      </w:rPr>
    </w:tblStylePr>
    <w:tblStylePr w:type="nwCell">
      <w:rPr>
        <w:color w:val="C6C6C6" w:themeColor="text1"/>
      </w:rPr>
    </w:tblStylePr>
  </w:style>
  <w:style w:type="table" w:styleId="Sombreadovistoso-nfasis6">
    <w:name w:val="Colorful Shading Accent 6"/>
    <w:basedOn w:val="Tablanormal"/>
    <w:uiPriority w:val="71"/>
    <w:rsid w:val="00CB0664"/>
    <w:pPr>
      <w:spacing w:after="0" w:line="240" w:lineRule="auto"/>
    </w:pPr>
    <w:rPr>
      <w:color w:val="C6C6C6"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000000" w:themeColor="background1"/>
        <w:insideV w:val="single" w:sz="4" w:space="0" w:color="000000"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C6C6C6" w:themeColor="text1"/>
      </w:rPr>
    </w:tblStylePr>
    <w:tblStylePr w:type="nwCell">
      <w:rPr>
        <w:color w:val="C6C6C6" w:themeColor="text1"/>
      </w:rPr>
    </w:tblStylePr>
  </w:style>
  <w:style w:type="table" w:styleId="Listavistosa">
    <w:name w:val="Colorful List"/>
    <w:basedOn w:val="Tablanormal"/>
    <w:uiPriority w:val="72"/>
    <w:rsid w:val="00CB0664"/>
    <w:pPr>
      <w:spacing w:after="0" w:line="240" w:lineRule="auto"/>
    </w:pPr>
    <w:rPr>
      <w:color w:val="C6C6C6" w:themeColor="text1"/>
    </w:rPr>
    <w:tblPr>
      <w:tblStyleRowBandSize w:val="1"/>
      <w:tblStyleColBandSize w:val="1"/>
    </w:tblPr>
    <w:tcPr>
      <w:shd w:val="clear" w:color="auto" w:fill="F9F9F9" w:themeFill="tex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0F0" w:themeFill="text1" w:themeFillTint="3F"/>
      </w:tcPr>
    </w:tblStylePr>
    <w:tblStylePr w:type="band1Horz">
      <w:tblPr/>
      <w:tcPr>
        <w:shd w:val="clear" w:color="auto" w:fill="F3F3F3" w:themeFill="text1" w:themeFillTint="33"/>
      </w:tcPr>
    </w:tblStylePr>
  </w:style>
  <w:style w:type="table" w:styleId="Listavistosa-nfasis1">
    <w:name w:val="Colorful List Accent 1"/>
    <w:basedOn w:val="Tablanormal"/>
    <w:uiPriority w:val="72"/>
    <w:rsid w:val="00CB0664"/>
    <w:pPr>
      <w:spacing w:after="0" w:line="240" w:lineRule="auto"/>
    </w:pPr>
    <w:rPr>
      <w:color w:val="C6C6C6"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C6C6C6"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C6C6C6"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000000"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C6C6C6"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000000"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C6C6C6"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000000"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C6C6C6"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000000"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3F3F3" w:themeFill="text1" w:themeFillTint="33"/>
    </w:tcPr>
    <w:tblStylePr w:type="firstRow">
      <w:rPr>
        <w:b/>
        <w:bCs/>
      </w:rPr>
      <w:tblPr/>
      <w:tcPr>
        <w:shd w:val="clear" w:color="auto" w:fill="E8E8E8" w:themeFill="text1" w:themeFillTint="66"/>
      </w:tcPr>
    </w:tblStylePr>
    <w:tblStylePr w:type="lastRow">
      <w:rPr>
        <w:b/>
        <w:bCs/>
        <w:color w:val="C6C6C6" w:themeColor="text1"/>
      </w:rPr>
      <w:tblPr/>
      <w:tcPr>
        <w:shd w:val="clear" w:color="auto" w:fill="E8E8E8" w:themeFill="text1" w:themeFillTint="66"/>
      </w:tcPr>
    </w:tblStylePr>
    <w:tblStylePr w:type="firstCol">
      <w:rPr>
        <w:color w:val="000000" w:themeColor="background1"/>
      </w:rPr>
      <w:tblPr/>
      <w:tcPr>
        <w:shd w:val="clear" w:color="auto" w:fill="949494" w:themeFill="text1" w:themeFillShade="BF"/>
      </w:tcPr>
    </w:tblStylePr>
    <w:tblStylePr w:type="lastCol">
      <w:rPr>
        <w:color w:val="000000" w:themeColor="background1"/>
      </w:rPr>
      <w:tblPr/>
      <w:tcPr>
        <w:shd w:val="clear" w:color="auto" w:fill="949494" w:themeFill="text1" w:themeFillShade="BF"/>
      </w:tcPr>
    </w:tblStylePr>
    <w:tblStylePr w:type="band1Vert">
      <w:tblPr/>
      <w:tcPr>
        <w:shd w:val="clear" w:color="auto" w:fill="E2E2E2" w:themeFill="text1" w:themeFillTint="7F"/>
      </w:tcPr>
    </w:tblStylePr>
    <w:tblStylePr w:type="band1Horz">
      <w:tblPr/>
      <w:tcPr>
        <w:shd w:val="clear" w:color="auto" w:fill="E2E2E2" w:themeFill="text1" w:themeFillTint="7F"/>
      </w:tcPr>
    </w:tblStylePr>
  </w:style>
  <w:style w:type="table" w:styleId="Cuadrculavistosa-nfasis1">
    <w:name w:val="Colorful Grid Accent 1"/>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C6C6C6"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C6C6C6"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C6C6C6"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C6C6C6"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C6C6C6"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C6C6C6"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1594</Words>
  <Characters>9089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Adrián Rivera Jaime</cp:lastModifiedBy>
  <cp:revision>4</cp:revision>
  <dcterms:created xsi:type="dcterms:W3CDTF">2013-12-23T23:15:00Z</dcterms:created>
  <dcterms:modified xsi:type="dcterms:W3CDTF">2026-08-27T23:06:00Z</dcterms:modified>
  <cp:category/>
</cp:coreProperties>
</file>