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87035" w14:textId="77777777" w:rsidR="00630BC5" w:rsidRDefault="00630BC5" w:rsidP="00CA554D">
      <w:pPr>
        <w:pBdr>
          <w:top w:val="nil"/>
          <w:left w:val="nil"/>
          <w:bottom w:val="nil"/>
          <w:right w:val="nil"/>
          <w:between w:val="nil"/>
        </w:pBdr>
        <w:spacing w:after="750" w:line="300" w:lineRule="auto"/>
        <w:rPr>
          <w:color w:val="1A365D"/>
        </w:rPr>
      </w:pPr>
    </w:p>
    <w:p w14:paraId="61487036" w14:textId="77777777" w:rsidR="00630BC5" w:rsidRDefault="00996D35">
      <w:pPr>
        <w:pBdr>
          <w:top w:val="nil"/>
          <w:left w:val="nil"/>
          <w:bottom w:val="nil"/>
          <w:right w:val="nil"/>
          <w:between w:val="nil"/>
        </w:pBdr>
        <w:spacing w:before="75" w:after="75" w:line="300" w:lineRule="auto"/>
        <w:jc w:val="center"/>
        <w:rPr>
          <w:b/>
          <w:bCs/>
          <w:color w:val="000000"/>
          <w:sz w:val="38"/>
          <w:szCs w:val="38"/>
        </w:rPr>
      </w:pPr>
      <w:r>
        <w:rPr>
          <w:b/>
          <w:bCs/>
          <w:color w:val="000000"/>
          <w:sz w:val="38"/>
          <w:szCs w:val="38"/>
        </w:rPr>
        <w:t>Elaborado por: Miguel Adrián Rivera Jaime</w:t>
      </w:r>
    </w:p>
    <w:p w14:paraId="61487037" w14:textId="77777777" w:rsidR="00630BC5" w:rsidRDefault="00996D35">
      <w:pPr>
        <w:pBdr>
          <w:top w:val="nil"/>
          <w:left w:val="nil"/>
          <w:bottom w:val="nil"/>
          <w:right w:val="nil"/>
          <w:between w:val="nil"/>
        </w:pBdr>
        <w:spacing w:after="75" w:line="300" w:lineRule="auto"/>
        <w:jc w:val="center"/>
        <w:rPr>
          <w:color w:val="4A5568"/>
        </w:rPr>
      </w:pPr>
      <w:r>
        <w:rPr>
          <w:color w:val="4A5568"/>
        </w:rPr>
        <w:t>Ingeniería en Sistemas Computacionales</w:t>
      </w:r>
    </w:p>
    <w:p w14:paraId="61487038" w14:textId="77777777" w:rsidR="00630BC5" w:rsidRDefault="00996D35">
      <w:pPr>
        <w:pBdr>
          <w:top w:val="nil"/>
          <w:left w:val="nil"/>
          <w:bottom w:val="nil"/>
          <w:right w:val="nil"/>
          <w:between w:val="nil"/>
        </w:pBdr>
        <w:spacing w:after="75" w:line="300" w:lineRule="auto"/>
        <w:jc w:val="center"/>
        <w:rPr>
          <w:color w:val="4A5568"/>
        </w:rPr>
      </w:pPr>
      <w:r>
        <w:rPr>
          <w:color w:val="4A5568"/>
        </w:rPr>
        <w:t>Instituto Tecnológico Superior de Irapuato (ITESI)</w:t>
      </w:r>
    </w:p>
    <w:p w14:paraId="61487039" w14:textId="77777777" w:rsidR="00630BC5" w:rsidRDefault="00996D35">
      <w:pPr>
        <w:pBdr>
          <w:top w:val="nil"/>
          <w:left w:val="nil"/>
          <w:bottom w:val="nil"/>
          <w:right w:val="nil"/>
          <w:between w:val="nil"/>
        </w:pBdr>
        <w:spacing w:after="75" w:line="300" w:lineRule="auto"/>
        <w:jc w:val="center"/>
        <w:rPr>
          <w:i/>
          <w:iCs/>
          <w:color w:val="4A5568"/>
        </w:rPr>
      </w:pPr>
      <w:r>
        <w:rPr>
          <w:i/>
          <w:iCs/>
          <w:color w:val="4A5568"/>
        </w:rPr>
        <w:t>Documentación Técnica - Reporte de Servicio Social</w:t>
      </w:r>
    </w:p>
    <w:p w14:paraId="6148703A" w14:textId="77777777" w:rsidR="00630BC5" w:rsidRDefault="00996D35">
      <w:pPr>
        <w:pBdr>
          <w:top w:val="nil"/>
          <w:left w:val="nil"/>
          <w:bottom w:val="nil"/>
          <w:right w:val="nil"/>
          <w:between w:val="nil"/>
        </w:pBdr>
        <w:spacing w:after="225" w:line="300" w:lineRule="auto"/>
        <w:rPr>
          <w:color w:val="000000"/>
        </w:rPr>
      </w:pPr>
      <w:r>
        <w:pict w14:anchorId="6148705A">
          <v:rect id="_x0000_i1025" style="width:0;height:1.5pt" o:hralign="center" o:hrstd="t" o:hr="t" fillcolor="#a0a0a0" stroked="f"/>
        </w:pict>
      </w:r>
      <w:r>
        <w:rPr>
          <w:b/>
          <w:bCs/>
          <w:color w:val="000000"/>
        </w:rPr>
        <w:t>Resumen Ejecutivo:</w:t>
      </w:r>
      <w:r>
        <w:rPr>
          <w:color w:val="000000"/>
        </w:rPr>
        <w:t xml:space="preserve"> Este documento técnico aborda la implementación de mecanismos de control de flujo para el manejo de excepciones en JavaScript mediante la estructura try/catch/finally. Se analiza su integración con operaciones asíncronas y el consumo de interfaces de programación de aplicaciones (APIs), diferenciando las fallas a nivel de red de las anomalías en los datos recibidos, con el objetivo de garantizar la resiliencia y la estabilidad del software en entornos de producción.</w:t>
      </w:r>
    </w:p>
    <w:p w14:paraId="6148703B" w14:textId="77777777" w:rsidR="00630BC5" w:rsidRDefault="00630BC5">
      <w:pPr>
        <w:pBdr>
          <w:top w:val="nil"/>
          <w:left w:val="nil"/>
          <w:bottom w:val="nil"/>
          <w:right w:val="nil"/>
          <w:between w:val="nil"/>
        </w:pBdr>
        <w:spacing w:after="225" w:line="300" w:lineRule="auto"/>
        <w:rPr>
          <w:color w:val="000000"/>
        </w:rPr>
      </w:pPr>
    </w:p>
    <w:p w14:paraId="6148703C" w14:textId="77777777" w:rsidR="00630BC5" w:rsidRDefault="00996D35">
      <w:pPr>
        <w:pStyle w:val="Ttulo2"/>
        <w:spacing w:after="300" w:line="300" w:lineRule="auto"/>
        <w:rPr>
          <w:color w:val="2B6CB0"/>
        </w:rPr>
      </w:pPr>
      <w:r>
        <w:rPr>
          <w:color w:val="2B6CB0"/>
        </w:rPr>
        <w:t>1. El Problema de las Excepciones No Controladas</w:t>
      </w:r>
    </w:p>
    <w:p w14:paraId="6148703D" w14:textId="77777777" w:rsidR="00630BC5" w:rsidRDefault="00996D35">
      <w:pPr>
        <w:pBdr>
          <w:top w:val="nil"/>
          <w:left w:val="nil"/>
          <w:bottom w:val="nil"/>
          <w:right w:val="nil"/>
          <w:between w:val="nil"/>
        </w:pBdr>
        <w:spacing w:after="225" w:line="300" w:lineRule="auto"/>
        <w:rPr>
          <w:color w:val="000000"/>
        </w:rPr>
      </w:pPr>
      <w:r>
        <w:rPr>
          <w:color w:val="000000"/>
        </w:rPr>
        <w:t>En la ingeniería de software, las excepciones representan eventos anómalos que interrumpen el flujo normal de ejecución de un programa. En el entorno de ejecución de JavaScript, si un error no es capturado y manejado explícitamente, el hilo de ejecución (Main Thread) se detiene de forma abrupta en el punto de fallo. Esto resulta en una interrupción total del servicio para el usuario final, dejando la interfaz de usuario (UI) en un estado inconsistente, congelada o mostrando indicadores de carga que nunca fi</w:t>
      </w:r>
      <w:r>
        <w:rPr>
          <w:color w:val="000000"/>
        </w:rPr>
        <w:t>nalizan. El manejo adecuado de errores prevé estos escenarios, permitiendo al sistema recuperarse de forma controlada (Graceful Degradation) o notificar al usuario adecuadamente sin colapsar la aplicación completa.</w:t>
      </w:r>
    </w:p>
    <w:p w14:paraId="6148703E" w14:textId="77777777" w:rsidR="00630BC5" w:rsidRDefault="00630BC5">
      <w:pPr>
        <w:pBdr>
          <w:top w:val="nil"/>
          <w:left w:val="nil"/>
          <w:bottom w:val="nil"/>
          <w:right w:val="nil"/>
          <w:between w:val="nil"/>
        </w:pBdr>
        <w:spacing w:after="225" w:line="300" w:lineRule="auto"/>
        <w:rPr>
          <w:color w:val="000000"/>
        </w:rPr>
      </w:pPr>
    </w:p>
    <w:p w14:paraId="6148703F" w14:textId="77777777" w:rsidR="00630BC5" w:rsidRDefault="00996D35">
      <w:pPr>
        <w:pStyle w:val="Ttulo2"/>
        <w:spacing w:after="300" w:line="300" w:lineRule="auto"/>
        <w:rPr>
          <w:color w:val="2B6CB0"/>
        </w:rPr>
      </w:pPr>
      <w:r>
        <w:rPr>
          <w:color w:val="2B6CB0"/>
        </w:rPr>
        <w:t>2. Sintaxis y Arquitectura del Bloque try/catch/finally</w:t>
      </w:r>
    </w:p>
    <w:p w14:paraId="61487040" w14:textId="77777777" w:rsidR="00630BC5" w:rsidRDefault="00996D35">
      <w:pPr>
        <w:pBdr>
          <w:top w:val="nil"/>
          <w:left w:val="nil"/>
          <w:bottom w:val="nil"/>
          <w:right w:val="nil"/>
          <w:between w:val="nil"/>
        </w:pBdr>
        <w:spacing w:after="225" w:line="300" w:lineRule="auto"/>
        <w:rPr>
          <w:color w:val="000000"/>
        </w:rPr>
      </w:pPr>
      <w:r>
        <w:rPr>
          <w:color w:val="000000"/>
        </w:rPr>
        <w:t>La estructura de control de excepciones se divide en tres bloques fundamentales, cada uno con una responsabilidad arquitectónica específica:</w:t>
      </w:r>
    </w:p>
    <w:p w14:paraId="61487041" w14:textId="77777777" w:rsidR="00630BC5" w:rsidRDefault="00996D35">
      <w:pPr>
        <w:numPr>
          <w:ilvl w:val="0"/>
          <w:numId w:val="1"/>
        </w:numPr>
        <w:pBdr>
          <w:top w:val="nil"/>
          <w:left w:val="nil"/>
          <w:bottom w:val="nil"/>
          <w:right w:val="nil"/>
          <w:between w:val="nil"/>
        </w:pBdr>
        <w:spacing w:line="300" w:lineRule="auto"/>
      </w:pPr>
      <w:r>
        <w:rPr>
          <w:b/>
          <w:bCs/>
          <w:color w:val="000000"/>
        </w:rPr>
        <w:t>Bloque try:</w:t>
      </w:r>
      <w:r>
        <w:rPr>
          <w:color w:val="000000"/>
        </w:rPr>
        <w:t xml:space="preserve"> Encapsula el segmento de código susceptible a generar excepciones. El motor de JavaScript monitorea la ejecución de las instrucciones contenidas aquí.</w:t>
      </w:r>
    </w:p>
    <w:p w14:paraId="61487042" w14:textId="77777777" w:rsidR="00630BC5" w:rsidRDefault="00996D35">
      <w:pPr>
        <w:numPr>
          <w:ilvl w:val="0"/>
          <w:numId w:val="1"/>
        </w:numPr>
        <w:pBdr>
          <w:top w:val="nil"/>
          <w:left w:val="nil"/>
          <w:bottom w:val="nil"/>
          <w:right w:val="nil"/>
          <w:between w:val="nil"/>
        </w:pBdr>
        <w:spacing w:line="300" w:lineRule="auto"/>
      </w:pPr>
      <w:r>
        <w:rPr>
          <w:b/>
          <w:bCs/>
          <w:color w:val="000000"/>
        </w:rPr>
        <w:t>Bloque catch:</w:t>
      </w:r>
      <w:r>
        <w:rPr>
          <w:color w:val="000000"/>
        </w:rPr>
        <w:t xml:space="preserve"> Actúa como un interceptor. Si ocurre un fallo crítico dentro del bloque try, el control de flujo se transfiere inmediatamente a este bloque, recibiendo un objeto Error </w:t>
      </w:r>
      <w:r>
        <w:rPr>
          <w:color w:val="000000"/>
        </w:rPr>
        <w:lastRenderedPageBreak/>
        <w:t>que contiene los metadatos de la falla (como el mensaje descriptivo y la traza de la pila o stack trace).</w:t>
      </w:r>
    </w:p>
    <w:p w14:paraId="61487043" w14:textId="77777777" w:rsidR="00630BC5" w:rsidRDefault="00996D35">
      <w:pPr>
        <w:numPr>
          <w:ilvl w:val="0"/>
          <w:numId w:val="1"/>
        </w:numPr>
        <w:pBdr>
          <w:top w:val="nil"/>
          <w:left w:val="nil"/>
          <w:bottom w:val="nil"/>
          <w:right w:val="nil"/>
          <w:between w:val="nil"/>
        </w:pBdr>
        <w:spacing w:after="150" w:line="300" w:lineRule="auto"/>
      </w:pPr>
      <w:r>
        <w:rPr>
          <w:b/>
          <w:bCs/>
          <w:color w:val="000000"/>
        </w:rPr>
        <w:t>Bloque finally:</w:t>
      </w:r>
      <w:r>
        <w:rPr>
          <w:color w:val="000000"/>
        </w:rPr>
        <w:t xml:space="preserve"> Es un segmento de ejecución garantizada. Independientemente de si la operación tuvo éxito o si se lanzó una excepción, este bloque siempre se ejecutará al final. Es crítico para la liberación de recursos, cierre de conexiones o la finalización de estados de carga (por ejemplo, ocultar un indicador visual de "cargando").</w:t>
      </w:r>
    </w:p>
    <w:p w14:paraId="61487044" w14:textId="77777777" w:rsidR="00630BC5" w:rsidRDefault="00630BC5">
      <w:pPr>
        <w:pBdr>
          <w:top w:val="nil"/>
          <w:left w:val="nil"/>
          <w:bottom w:val="nil"/>
          <w:right w:val="nil"/>
          <w:between w:val="nil"/>
        </w:pBdr>
        <w:spacing w:before="225" w:after="225" w:line="300" w:lineRule="auto"/>
        <w:rPr>
          <w:color w:val="000000"/>
        </w:rPr>
      </w:pPr>
    </w:p>
    <w:p w14:paraId="61487045" w14:textId="77777777" w:rsidR="00630BC5" w:rsidRDefault="00996D35">
      <w:pPr>
        <w:pStyle w:val="Ttulo2"/>
        <w:spacing w:after="300" w:line="300" w:lineRule="auto"/>
        <w:rPr>
          <w:color w:val="2B6CB0"/>
        </w:rPr>
      </w:pPr>
      <w:r>
        <w:rPr>
          <w:color w:val="2B6CB0"/>
        </w:rPr>
        <w:t>3. Integración con Operaciones Asíncronas (async/await)</w:t>
      </w:r>
    </w:p>
    <w:p w14:paraId="61487046" w14:textId="77777777" w:rsidR="00630BC5" w:rsidRDefault="00996D35">
      <w:pPr>
        <w:pBdr>
          <w:top w:val="nil"/>
          <w:left w:val="nil"/>
          <w:bottom w:val="nil"/>
          <w:right w:val="nil"/>
          <w:between w:val="nil"/>
        </w:pBdr>
        <w:spacing w:after="225" w:line="300" w:lineRule="auto"/>
        <w:rPr>
          <w:color w:val="000000"/>
        </w:rPr>
      </w:pPr>
      <w:r>
        <w:rPr>
          <w:color w:val="000000"/>
        </w:rPr>
        <w:t>En el paradigma asíncrono moderno, el consumo de recursos externos (como llamadas a una API) se gestiona utilizando Promesas. La sintaxis async/await permite escribir código asíncrono con una estructura que emula la secuencialidad síncrona. Al encapsular las sentencias await dentro de un bloque try/catch, se centraliza la captura de rechazos (rejections) de las Promesas, manteniendo el código limpio, legible y libre del anidamiento excesivo de callbacks funcionales (el antipatrón conocido como callback hell</w:t>
      </w:r>
      <w:r>
        <w:rPr>
          <w:color w:val="000000"/>
        </w:rPr>
        <w:t>).</w:t>
      </w:r>
    </w:p>
    <w:p w14:paraId="61487047" w14:textId="77777777" w:rsidR="00630BC5" w:rsidRDefault="00630BC5">
      <w:pPr>
        <w:pBdr>
          <w:top w:val="nil"/>
          <w:left w:val="nil"/>
          <w:bottom w:val="nil"/>
          <w:right w:val="nil"/>
          <w:between w:val="nil"/>
        </w:pBdr>
        <w:spacing w:after="225" w:line="300" w:lineRule="auto"/>
        <w:rPr>
          <w:color w:val="000000"/>
        </w:rPr>
      </w:pPr>
    </w:p>
    <w:p w14:paraId="61487048" w14:textId="77777777" w:rsidR="00630BC5" w:rsidRDefault="00996D35">
      <w:pPr>
        <w:pStyle w:val="Ttulo2"/>
        <w:spacing w:after="300" w:line="300" w:lineRule="auto"/>
        <w:rPr>
          <w:color w:val="2B6CB0"/>
        </w:rPr>
      </w:pPr>
      <w:r>
        <w:rPr>
          <w:color w:val="2B6CB0"/>
        </w:rPr>
        <w:t>4. Tipología de Fallos: Errores de Red vs. Errores de Protocolo (Datos)</w:t>
      </w:r>
    </w:p>
    <w:p w14:paraId="61487049" w14:textId="77777777" w:rsidR="00630BC5" w:rsidRDefault="00996D35">
      <w:pPr>
        <w:pBdr>
          <w:top w:val="nil"/>
          <w:left w:val="nil"/>
          <w:bottom w:val="nil"/>
          <w:right w:val="nil"/>
          <w:between w:val="nil"/>
        </w:pBdr>
        <w:spacing w:after="225" w:line="300" w:lineRule="auto"/>
        <w:rPr>
          <w:color w:val="000000"/>
        </w:rPr>
      </w:pPr>
      <w:r>
        <w:rPr>
          <w:color w:val="000000"/>
        </w:rPr>
        <w:t>Al consumir una API mediante la API nativa fetch, es un error arquitectónico común asumir que cualquier falla detonará el bloque catch automáticamente. Es fundamental para el ingeniero distinguir entre dos capas de errores:</w:t>
      </w:r>
    </w:p>
    <w:tbl>
      <w:tblPr>
        <w:tblStyle w:val="a"/>
        <w:tblW w:w="9360" w:type="dxa"/>
        <w:tblInd w:w="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ayout w:type="fixed"/>
        <w:tblLook w:val="0600" w:firstRow="0" w:lastRow="0" w:firstColumn="0" w:lastColumn="0" w:noHBand="1" w:noVBand="1"/>
      </w:tblPr>
      <w:tblGrid>
        <w:gridCol w:w="3120"/>
        <w:gridCol w:w="3120"/>
        <w:gridCol w:w="3120"/>
      </w:tblGrid>
      <w:tr w:rsidR="00630BC5" w14:paraId="6148704E" w14:textId="77777777">
        <w:trPr>
          <w:tblHeader/>
        </w:trPr>
        <w:tc>
          <w:tcPr>
            <w:tcW w:w="3120" w:type="dxa"/>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14:paraId="6148704A" w14:textId="77777777" w:rsidR="00630BC5" w:rsidRDefault="00996D35">
            <w:pPr>
              <w:pBdr>
                <w:top w:val="nil"/>
                <w:left w:val="nil"/>
                <w:bottom w:val="nil"/>
                <w:right w:val="nil"/>
                <w:between w:val="nil"/>
              </w:pBdr>
              <w:spacing w:before="180" w:after="180" w:line="300" w:lineRule="auto"/>
              <w:rPr>
                <w:b/>
                <w:bCs/>
                <w:color w:val="000000"/>
              </w:rPr>
            </w:pPr>
            <w:r>
              <w:rPr>
                <w:b/>
                <w:bCs/>
                <w:color w:val="000000"/>
              </w:rPr>
              <w:t>Tipo de Error</w:t>
            </w:r>
          </w:p>
        </w:tc>
        <w:tc>
          <w:tcPr>
            <w:tcW w:w="3120" w:type="dxa"/>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14:paraId="6148704B" w14:textId="77777777" w:rsidR="00630BC5" w:rsidRDefault="00996D35">
            <w:pPr>
              <w:pBdr>
                <w:top w:val="nil"/>
                <w:left w:val="nil"/>
                <w:bottom w:val="nil"/>
                <w:right w:val="nil"/>
                <w:between w:val="nil"/>
              </w:pBdr>
              <w:spacing w:before="180" w:after="180" w:line="300" w:lineRule="auto"/>
              <w:rPr>
                <w:b/>
                <w:bCs/>
                <w:color w:val="000000"/>
              </w:rPr>
            </w:pPr>
            <w:r>
              <w:rPr>
                <w:b/>
                <w:bCs/>
                <w:color w:val="000000"/>
              </w:rPr>
              <w:t>Causa y Comportamiento</w:t>
            </w:r>
          </w:p>
        </w:tc>
        <w:tc>
          <w:tcPr>
            <w:tcW w:w="3120" w:type="dxa"/>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14:paraId="6148704C" w14:textId="77777777" w:rsidR="00630BC5" w:rsidRDefault="00996D35">
            <w:pPr>
              <w:pBdr>
                <w:top w:val="nil"/>
                <w:left w:val="nil"/>
                <w:bottom w:val="nil"/>
                <w:right w:val="nil"/>
                <w:between w:val="nil"/>
              </w:pBdr>
              <w:spacing w:before="180" w:after="180" w:line="300" w:lineRule="auto"/>
              <w:rPr>
                <w:b/>
                <w:bCs/>
                <w:color w:val="000000"/>
              </w:rPr>
            </w:pPr>
            <w:r>
              <w:rPr>
                <w:b/>
                <w:bCs/>
                <w:color w:val="000000"/>
              </w:rPr>
              <w:t>Manejo Técnico</w:t>
            </w:r>
          </w:p>
          <w:p w14:paraId="6148704D" w14:textId="77777777" w:rsidR="00630BC5" w:rsidRDefault="00996D35">
            <w:pPr>
              <w:pBdr>
                <w:top w:val="nil"/>
                <w:left w:val="nil"/>
                <w:bottom w:val="nil"/>
                <w:right w:val="nil"/>
                <w:between w:val="nil"/>
              </w:pBdr>
              <w:rPr>
                <w:color w:val="000000"/>
              </w:rPr>
            </w:pPr>
            <w:r>
              <w:rPr>
                <w:color w:val="000000"/>
              </w:rPr>
              <w:t xml:space="preserve"> </w:t>
            </w:r>
          </w:p>
        </w:tc>
      </w:tr>
      <w:tr w:rsidR="00630BC5" w14:paraId="61487052" w14:textId="77777777">
        <w:tc>
          <w:tcPr>
            <w:tcW w:w="3120" w:type="dxa"/>
            <w:tcBorders>
              <w:top w:val="single" w:sz="6" w:space="0" w:color="CBD5E0"/>
              <w:left w:val="single" w:sz="6" w:space="0" w:color="CBD5E0"/>
              <w:bottom w:val="single" w:sz="6" w:space="0" w:color="CBD5E0"/>
              <w:right w:val="single" w:sz="6" w:space="0" w:color="CBD5E0"/>
            </w:tcBorders>
            <w:tcMar>
              <w:top w:w="180" w:type="dxa"/>
              <w:left w:w="180" w:type="dxa"/>
              <w:bottom w:w="180" w:type="dxa"/>
              <w:right w:w="180" w:type="dxa"/>
            </w:tcMar>
          </w:tcPr>
          <w:p w14:paraId="6148704F" w14:textId="77777777" w:rsidR="00630BC5" w:rsidRDefault="00996D35">
            <w:pPr>
              <w:pBdr>
                <w:top w:val="nil"/>
                <w:left w:val="nil"/>
                <w:bottom w:val="nil"/>
                <w:right w:val="nil"/>
                <w:between w:val="nil"/>
              </w:pBdr>
              <w:spacing w:before="180" w:after="180" w:line="300" w:lineRule="auto"/>
              <w:rPr>
                <w:b/>
                <w:bCs/>
                <w:color w:val="000000"/>
              </w:rPr>
            </w:pPr>
            <w:r>
              <w:rPr>
                <w:b/>
                <w:bCs/>
                <w:color w:val="000000"/>
              </w:rPr>
              <w:t>Errores de Red (Network Errors)</w:t>
            </w:r>
          </w:p>
        </w:tc>
        <w:tc>
          <w:tcPr>
            <w:tcW w:w="3120" w:type="dxa"/>
            <w:tcBorders>
              <w:top w:val="single" w:sz="6" w:space="0" w:color="CBD5E0"/>
              <w:left w:val="single" w:sz="6" w:space="0" w:color="CBD5E0"/>
              <w:bottom w:val="single" w:sz="6" w:space="0" w:color="CBD5E0"/>
              <w:right w:val="single" w:sz="6" w:space="0" w:color="CBD5E0"/>
            </w:tcBorders>
            <w:tcMar>
              <w:top w:w="180" w:type="dxa"/>
              <w:left w:w="180" w:type="dxa"/>
              <w:bottom w:w="180" w:type="dxa"/>
              <w:right w:w="180" w:type="dxa"/>
            </w:tcMar>
          </w:tcPr>
          <w:p w14:paraId="61487050" w14:textId="77777777" w:rsidR="00630BC5" w:rsidRDefault="00996D35">
            <w:pPr>
              <w:pBdr>
                <w:top w:val="nil"/>
                <w:left w:val="nil"/>
                <w:bottom w:val="nil"/>
                <w:right w:val="nil"/>
                <w:between w:val="nil"/>
              </w:pBdr>
              <w:spacing w:before="180" w:after="180" w:line="300" w:lineRule="auto"/>
              <w:rPr>
                <w:color w:val="000000"/>
              </w:rPr>
            </w:pPr>
            <w:r>
              <w:rPr>
                <w:color w:val="000000"/>
              </w:rPr>
              <w:t xml:space="preserve">Ocurren a nivel de infraestructura física o políticas: pérdida de conexión a internet del cliente, fallas de resolución DNS del servidor, o </w:t>
            </w:r>
            <w:r>
              <w:rPr>
                <w:color w:val="000000"/>
              </w:rPr>
              <w:lastRenderedPageBreak/>
              <w:t>bloqueos estrictos por políticas CORS.</w:t>
            </w:r>
          </w:p>
        </w:tc>
        <w:tc>
          <w:tcPr>
            <w:tcW w:w="3120" w:type="dxa"/>
            <w:tcBorders>
              <w:top w:val="single" w:sz="6" w:space="0" w:color="CBD5E0"/>
              <w:left w:val="single" w:sz="6" w:space="0" w:color="CBD5E0"/>
              <w:bottom w:val="single" w:sz="6" w:space="0" w:color="CBD5E0"/>
              <w:right w:val="single" w:sz="6" w:space="0" w:color="CBD5E0"/>
            </w:tcBorders>
            <w:tcMar>
              <w:top w:w="180" w:type="dxa"/>
              <w:left w:w="180" w:type="dxa"/>
              <w:bottom w:w="180" w:type="dxa"/>
              <w:right w:w="180" w:type="dxa"/>
            </w:tcMar>
          </w:tcPr>
          <w:p w14:paraId="61487051" w14:textId="77777777" w:rsidR="00630BC5" w:rsidRDefault="00996D35">
            <w:pPr>
              <w:pBdr>
                <w:top w:val="nil"/>
                <w:left w:val="nil"/>
                <w:bottom w:val="nil"/>
                <w:right w:val="nil"/>
                <w:between w:val="nil"/>
              </w:pBdr>
              <w:spacing w:before="180" w:after="180" w:line="300" w:lineRule="auto"/>
              <w:rPr>
                <w:color w:val="000000"/>
              </w:rPr>
            </w:pPr>
            <w:r>
              <w:rPr>
                <w:color w:val="000000"/>
              </w:rPr>
              <w:lastRenderedPageBreak/>
              <w:t>La promesa de fetch es rechazada de inmediato. El flujo salta directamente al bloque catch.</w:t>
            </w:r>
          </w:p>
        </w:tc>
      </w:tr>
      <w:tr w:rsidR="00630BC5" w14:paraId="61487056" w14:textId="77777777">
        <w:tc>
          <w:tcPr>
            <w:tcW w:w="3120" w:type="dxa"/>
            <w:tcBorders>
              <w:top w:val="single" w:sz="6" w:space="0" w:color="CBD5E0"/>
              <w:left w:val="single" w:sz="6" w:space="0" w:color="CBD5E0"/>
              <w:bottom w:val="single" w:sz="6" w:space="0" w:color="CBD5E0"/>
              <w:right w:val="single" w:sz="6" w:space="0" w:color="CBD5E0"/>
            </w:tcBorders>
            <w:tcMar>
              <w:top w:w="180" w:type="dxa"/>
              <w:left w:w="180" w:type="dxa"/>
              <w:bottom w:w="180" w:type="dxa"/>
              <w:right w:w="180" w:type="dxa"/>
            </w:tcMar>
          </w:tcPr>
          <w:p w14:paraId="61487053" w14:textId="77777777" w:rsidR="00630BC5" w:rsidRDefault="00996D35">
            <w:pPr>
              <w:pBdr>
                <w:top w:val="nil"/>
                <w:left w:val="nil"/>
                <w:bottom w:val="nil"/>
                <w:right w:val="nil"/>
                <w:between w:val="nil"/>
              </w:pBdr>
              <w:spacing w:before="180" w:after="180" w:line="300" w:lineRule="auto"/>
              <w:rPr>
                <w:b/>
                <w:bCs/>
                <w:color w:val="000000"/>
              </w:rPr>
            </w:pPr>
            <w:r>
              <w:rPr>
                <w:b/>
                <w:bCs/>
                <w:color w:val="000000"/>
              </w:rPr>
              <w:lastRenderedPageBreak/>
              <w:t>Errores de Datos / Protocolo (HTTP Errors)</w:t>
            </w:r>
          </w:p>
        </w:tc>
        <w:tc>
          <w:tcPr>
            <w:tcW w:w="3120" w:type="dxa"/>
            <w:tcBorders>
              <w:top w:val="single" w:sz="6" w:space="0" w:color="CBD5E0"/>
              <w:left w:val="single" w:sz="6" w:space="0" w:color="CBD5E0"/>
              <w:bottom w:val="single" w:sz="6" w:space="0" w:color="CBD5E0"/>
              <w:right w:val="single" w:sz="6" w:space="0" w:color="CBD5E0"/>
            </w:tcBorders>
            <w:tcMar>
              <w:top w:w="180" w:type="dxa"/>
              <w:left w:w="180" w:type="dxa"/>
              <w:bottom w:w="180" w:type="dxa"/>
              <w:right w:w="180" w:type="dxa"/>
            </w:tcMar>
          </w:tcPr>
          <w:p w14:paraId="61487054" w14:textId="77777777" w:rsidR="00630BC5" w:rsidRDefault="00996D35">
            <w:pPr>
              <w:pBdr>
                <w:top w:val="nil"/>
                <w:left w:val="nil"/>
                <w:bottom w:val="nil"/>
                <w:right w:val="nil"/>
                <w:between w:val="nil"/>
              </w:pBdr>
              <w:spacing w:before="180" w:after="180" w:line="300" w:lineRule="auto"/>
              <w:rPr>
                <w:color w:val="000000"/>
              </w:rPr>
            </w:pPr>
            <w:r>
              <w:rPr>
                <w:color w:val="000000"/>
              </w:rPr>
              <w:t>La comunicación física se logró satisfactoriamente, pero el servidor responde con códigos de estado HTTP que indican un fallo lógico (ej. 404 No Encontrado, 500 Error Interno del Servidor).</w:t>
            </w:r>
          </w:p>
        </w:tc>
        <w:tc>
          <w:tcPr>
            <w:tcW w:w="3120" w:type="dxa"/>
            <w:tcBorders>
              <w:top w:val="single" w:sz="6" w:space="0" w:color="CBD5E0"/>
              <w:left w:val="single" w:sz="6" w:space="0" w:color="CBD5E0"/>
              <w:bottom w:val="single" w:sz="6" w:space="0" w:color="CBD5E0"/>
              <w:right w:val="single" w:sz="6" w:space="0" w:color="CBD5E0"/>
            </w:tcBorders>
            <w:tcMar>
              <w:top w:w="180" w:type="dxa"/>
              <w:left w:w="180" w:type="dxa"/>
              <w:bottom w:w="180" w:type="dxa"/>
              <w:right w:w="180" w:type="dxa"/>
            </w:tcMar>
          </w:tcPr>
          <w:p w14:paraId="61487055" w14:textId="77777777" w:rsidR="00630BC5" w:rsidRDefault="00996D35">
            <w:pPr>
              <w:pBdr>
                <w:top w:val="nil"/>
                <w:left w:val="nil"/>
                <w:bottom w:val="nil"/>
                <w:right w:val="nil"/>
                <w:between w:val="nil"/>
              </w:pBdr>
              <w:spacing w:before="180" w:after="180" w:line="300" w:lineRule="auto"/>
              <w:rPr>
                <w:color w:val="000000"/>
              </w:rPr>
            </w:pPr>
            <w:r>
              <w:rPr>
                <w:color w:val="000000"/>
              </w:rPr>
              <w:t xml:space="preserve">La promesa de fetch </w:t>
            </w:r>
            <w:r>
              <w:rPr>
                <w:b/>
                <w:bCs/>
                <w:color w:val="000000"/>
              </w:rPr>
              <w:t>se resuelve exitosamente</w:t>
            </w:r>
            <w:r>
              <w:rPr>
                <w:color w:val="000000"/>
              </w:rPr>
              <w:t>. El bloque catch NO se dispara automáticamente. Se debe validar explícitamente la propiedad response.ok y, de ser falsa, lanzar una excepción manualmente (throw new Error(...)) para forzar la entrada al catch.</w:t>
            </w:r>
          </w:p>
        </w:tc>
      </w:tr>
    </w:tbl>
    <w:p w14:paraId="61487057" w14:textId="77777777" w:rsidR="00630BC5" w:rsidRDefault="00630BC5">
      <w:pPr>
        <w:pBdr>
          <w:top w:val="nil"/>
          <w:left w:val="nil"/>
          <w:bottom w:val="nil"/>
          <w:right w:val="nil"/>
          <w:between w:val="nil"/>
        </w:pBdr>
        <w:spacing w:before="375" w:after="225" w:line="300" w:lineRule="auto"/>
        <w:rPr>
          <w:color w:val="000000"/>
        </w:rPr>
      </w:pPr>
    </w:p>
    <w:p w14:paraId="61487058" w14:textId="77777777" w:rsidR="00630BC5" w:rsidRDefault="00996D35">
      <w:pPr>
        <w:pStyle w:val="Ttulo2"/>
        <w:spacing w:after="300" w:line="300" w:lineRule="auto"/>
        <w:rPr>
          <w:color w:val="2B6CB0"/>
        </w:rPr>
      </w:pPr>
      <w:r>
        <w:rPr>
          <w:color w:val="2B6CB0"/>
        </w:rPr>
        <w:t>5. Conclusión</w:t>
      </w:r>
    </w:p>
    <w:p w14:paraId="61487059" w14:textId="77777777" w:rsidR="00630BC5" w:rsidRDefault="00996D35">
      <w:pPr>
        <w:pBdr>
          <w:top w:val="nil"/>
          <w:left w:val="nil"/>
          <w:bottom w:val="nil"/>
          <w:right w:val="nil"/>
          <w:between w:val="nil"/>
        </w:pBdr>
        <w:spacing w:after="225" w:line="300" w:lineRule="auto"/>
        <w:rPr>
          <w:color w:val="000000"/>
        </w:rPr>
      </w:pPr>
      <w:r>
        <w:rPr>
          <w:color w:val="000000"/>
        </w:rPr>
        <w:t>El dominio del bloque try/catch/finally y la correcta evaluación de los objetos de respuesta HTTP son imperativos para el desarrollo de software tolerante a fallos. La implementación rigurosa de estos mecanismos asegura que el sistema informe al usuario de manera transparente sobre anomalías, garantizando la estabilidad operativa, evitando la exposición de detalles técnicos sensibles (stack traces en producción) y previniendo la interrupción abrupta de las operaciones en curso.</w:t>
      </w:r>
    </w:p>
    <w:sectPr w:rsidR="00630BC5">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8ED1CC1-F5C2-4D6F-B192-EF3E7EC70320}"/>
  </w:font>
  <w:font w:name="Calibri">
    <w:panose1 w:val="020F0502020204030204"/>
    <w:charset w:val="00"/>
    <w:family w:val="swiss"/>
    <w:pitch w:val="variable"/>
    <w:sig w:usb0="E4002EFF" w:usb1="C200247B" w:usb2="00000009" w:usb3="00000000" w:csb0="000001FF" w:csb1="00000000"/>
    <w:embedRegular r:id="rId2" w:fontKey="{BA65D755-A268-4E9A-B67B-FDDE749A0CEC}"/>
  </w:font>
  <w:font w:name="Cambria">
    <w:panose1 w:val="02040503050406030204"/>
    <w:charset w:val="00"/>
    <w:family w:val="roman"/>
    <w:pitch w:val="variable"/>
    <w:sig w:usb0="E00006FF" w:usb1="420024FF" w:usb2="02000000" w:usb3="00000000" w:csb0="0000019F" w:csb1="00000000"/>
    <w:embedRegular r:id="rId3" w:fontKey="{BA94501A-76A2-4170-98A1-F25EE1A3825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04689C"/>
    <w:multiLevelType w:val="multilevel"/>
    <w:tmpl w:val="68C2312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754522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97"/>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0BC5"/>
    <w:rsid w:val="00630BC5"/>
    <w:rsid w:val="00CA554D"/>
    <w:rsid w:val="00F15B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87033"/>
  <w15:docId w15:val="{EDAD01DF-3DA5-4644-BFBF-8DD4228E9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C6C6C6"/>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694</Words>
  <Characters>3960</Characters>
  <Application>Microsoft Office Word</Application>
  <DocSecurity>0</DocSecurity>
  <Lines>33</Lines>
  <Paragraphs>9</Paragraphs>
  <ScaleCrop>false</ScaleCrop>
  <Company/>
  <LinksUpToDate>false</LinksUpToDate>
  <CharactersWithSpaces>4645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Miguel Adrián Rivera Jaime</cp:lastModifiedBy>
  <cp:revision>2</cp:revision>
  <dcterms:created xsi:type="dcterms:W3CDTF">2026-08-22T20:20:00Z</dcterms:created>
  <dcterms:modified xsi:type="dcterms:W3CDTF">2026-08-22T20:21:00Z</dcterms:modified>
</cp:coreProperties>
</file>