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750" w:line="300" w:lineRule="auto"/>
        <w:jc w:val="left"/>
        <w:rPr>
          <w:rFonts w:ascii="Arial" w:cs="Arial" w:eastAsia="Arial" w:hAnsi="Arial"/>
          <w:color w:val="1a365d"/>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75" w:before="75" w:line="300" w:lineRule="auto"/>
        <w:jc w:val="center"/>
        <w:rPr>
          <w:rFonts w:ascii="Arial" w:cs="Arial" w:eastAsia="Arial" w:hAnsi="Arial"/>
          <w:b w:val="1"/>
          <w:bCs w:val="1"/>
          <w:color w:val="000000"/>
          <w:sz w:val="38"/>
          <w:szCs w:val="38"/>
        </w:rPr>
      </w:pPr>
      <w:r w:rsidDel="00000000" w:rsidR="00000000" w:rsidRPr="00000000">
        <w:rPr>
          <w:rFonts w:ascii="Arial" w:cs="Arial" w:eastAsia="Arial" w:hAnsi="Arial"/>
          <w:b w:val="1"/>
          <w:bCs w:val="1"/>
          <w:color w:val="000000"/>
          <w:sz w:val="38"/>
          <w:szCs w:val="38"/>
          <w:rtl w:val="0"/>
        </w:rPr>
        <w:t xml:space="preserve">Elaborado por: Miguel Adrián Rivera Jaime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75" w:line="300" w:lineRule="auto"/>
        <w:jc w:val="center"/>
        <w:rPr>
          <w:rFonts w:ascii="Arial" w:cs="Arial" w:eastAsia="Arial" w:hAnsi="Arial"/>
          <w:color w:val="4a5568"/>
        </w:rPr>
      </w:pPr>
      <w:r w:rsidDel="00000000" w:rsidR="00000000" w:rsidRPr="00000000">
        <w:rPr>
          <w:rFonts w:ascii="Arial" w:cs="Arial" w:eastAsia="Arial" w:hAnsi="Arial"/>
          <w:color w:val="4a5568"/>
          <w:rtl w:val="0"/>
        </w:rPr>
        <w:t xml:space="preserve">Ingeniería en Sistemas Computacionales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75" w:line="300" w:lineRule="auto"/>
        <w:jc w:val="center"/>
        <w:rPr>
          <w:rFonts w:ascii="Arial" w:cs="Arial" w:eastAsia="Arial" w:hAnsi="Arial"/>
          <w:color w:val="4a5568"/>
        </w:rPr>
      </w:pPr>
      <w:r w:rsidDel="00000000" w:rsidR="00000000" w:rsidRPr="00000000">
        <w:rPr>
          <w:rFonts w:ascii="Arial" w:cs="Arial" w:eastAsia="Arial" w:hAnsi="Arial"/>
          <w:color w:val="4a5568"/>
          <w:rtl w:val="0"/>
        </w:rPr>
        <w:t xml:space="preserve">Instituto Tecnológico Superior de Irapuato (ITESI)</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75" w:line="300" w:lineRule="auto"/>
        <w:jc w:val="center"/>
        <w:rPr>
          <w:rFonts w:ascii="Arial" w:cs="Arial" w:eastAsia="Arial" w:hAnsi="Arial"/>
          <w:i w:val="1"/>
          <w:iCs w:val="1"/>
          <w:color w:val="4a5568"/>
        </w:rPr>
      </w:pPr>
      <w:r w:rsidDel="00000000" w:rsidR="00000000" w:rsidRPr="00000000">
        <w:rPr>
          <w:rFonts w:ascii="Arial" w:cs="Arial" w:eastAsia="Arial" w:hAnsi="Arial"/>
          <w:i w:val="1"/>
          <w:iCs w:val="1"/>
          <w:color w:val="4a5568"/>
          <w:rtl w:val="0"/>
        </w:rPr>
        <w:t xml:space="preserve">Documentación Técnica - Reporte de Servicio Social</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color w:val="000000"/>
        </w:rPr>
      </w:pPr>
      <w:r w:rsidDel="00000000" w:rsidR="00000000" w:rsidRPr="00000000">
        <w:pict>
          <v:rect style="width:0.0pt;height:1.5pt" o:hr="t" o:hrstd="t" o:hralign="center" fillcolor="#A0A0A0" stroked="f"/>
        </w:pict>
      </w:r>
      <w:r w:rsidDel="00000000" w:rsidR="00000000" w:rsidRPr="00000000">
        <w:rPr>
          <w:rFonts w:ascii="Arial" w:cs="Arial" w:eastAsia="Arial" w:hAnsi="Arial"/>
          <w:b w:val="1"/>
          <w:bCs w:val="1"/>
          <w:color w:val="000000"/>
          <w:rtl w:val="0"/>
        </w:rPr>
        <w:t xml:space="preserve">Resumen Ejecutivo:</w:t>
      </w:r>
      <w:r w:rsidDel="00000000" w:rsidR="00000000" w:rsidRPr="00000000">
        <w:rPr>
          <w:rFonts w:ascii="Arial" w:cs="Arial" w:eastAsia="Arial" w:hAnsi="Arial"/>
          <w:color w:val="000000"/>
          <w:rtl w:val="0"/>
        </w:rPr>
        <w:t xml:space="preserve"> El presente documento técnico aborda la implementación de enrutamiento del lado del cliente (Client-Side Routing) utilizando la biblioteca estándar React Router. Se analiza la arquitectura de las Aplicaciones de Página Única (SPA), las limitaciones técnicas de las anclas HTML tradicionales (&lt;a&gt;) en ecosistemas reactivos, y la estructura de componentes necesarios para gestionar la navegación sin incurrir en recargas destructivas del ciclo de vida de la aplicación.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300" w:line="300" w:lineRule="auto"/>
        <w:rPr>
          <w:rFonts w:ascii="Arial" w:cs="Arial" w:eastAsia="Arial" w:hAnsi="Arial"/>
          <w:color w:val="2b6cb0"/>
        </w:rPr>
      </w:pPr>
      <w:r w:rsidDel="00000000" w:rsidR="00000000" w:rsidRPr="00000000">
        <w:rPr>
          <w:rFonts w:ascii="Arial" w:cs="Arial" w:eastAsia="Arial" w:hAnsi="Arial"/>
          <w:color w:val="2b6cb0"/>
          <w:rtl w:val="0"/>
        </w:rPr>
        <w:t xml:space="preserve">1. Arquitectura de una Single Page Application (SPA)</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color w:val="000000"/>
        </w:rPr>
      </w:pPr>
      <w:r w:rsidDel="00000000" w:rsidR="00000000" w:rsidRPr="00000000">
        <w:rPr>
          <w:rFonts w:ascii="Arial" w:cs="Arial" w:eastAsia="Arial" w:hAnsi="Arial"/>
          <w:color w:val="000000"/>
          <w:rtl w:val="0"/>
        </w:rPr>
        <w:t xml:space="preserve">Históricamente, la arquitectura web funcionaba bajo un modelo de múltiples páginas (Multi-Page Application). En este esquema, cada transición de interfaz requería que el navegador realizara una petición HTTP al servidor, el cual construía y devolvía un documento HTML completamente nuevo. Este proceso es costoso en términos de latencia de red y ciclos de procesamiento.</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color w:val="000000"/>
        </w:rPr>
      </w:pPr>
      <w:r w:rsidDel="00000000" w:rsidR="00000000" w:rsidRPr="00000000">
        <w:rPr>
          <w:rFonts w:ascii="Arial" w:cs="Arial" w:eastAsia="Arial" w:hAnsi="Arial"/>
          <w:color w:val="000000"/>
          <w:rtl w:val="0"/>
        </w:rPr>
        <w:t xml:space="preserve">React impulsa el paradigma de la </w:t>
      </w:r>
      <w:r w:rsidDel="00000000" w:rsidR="00000000" w:rsidRPr="00000000">
        <w:rPr>
          <w:rFonts w:ascii="Arial" w:cs="Arial" w:eastAsia="Arial" w:hAnsi="Arial"/>
          <w:b w:val="1"/>
          <w:bCs w:val="1"/>
          <w:color w:val="000000"/>
          <w:rtl w:val="0"/>
        </w:rPr>
        <w:t xml:space="preserve">Single Page Application (SPA)</w:t>
      </w:r>
      <w:r w:rsidDel="00000000" w:rsidR="00000000" w:rsidRPr="00000000">
        <w:rPr>
          <w:rFonts w:ascii="Arial" w:cs="Arial" w:eastAsia="Arial" w:hAnsi="Arial"/>
          <w:color w:val="000000"/>
          <w:rtl w:val="0"/>
        </w:rPr>
        <w:t xml:space="preserve">. Bajo esta arquitectura, el servidor envía un único archivo index.html base inicial, junto con un paquete (bundle) que contiene todo el código JavaScript de la aplicación. A partir de ese momento, la aplicación nunca vuelve a recargar la página completa. En su lugar, el motor de JavaScript intercepta las interacciones del usuario, destruye componentes (Unmounting) y construye nuevos componentes (Mounting) en el DOM dinámicamente, emulando la sensación de estar navegando por distintas "páginas" o vistas de manera casi instantánea.</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300" w:line="300" w:lineRule="auto"/>
        <w:rPr>
          <w:rFonts w:ascii="Arial" w:cs="Arial" w:eastAsia="Arial" w:hAnsi="Arial"/>
          <w:color w:val="2b6cb0"/>
        </w:rPr>
      </w:pPr>
      <w:r w:rsidDel="00000000" w:rsidR="00000000" w:rsidRPr="00000000">
        <w:rPr>
          <w:rFonts w:ascii="Arial" w:cs="Arial" w:eastAsia="Arial" w:hAnsi="Arial"/>
          <w:color w:val="2b6cb0"/>
          <w:rtl w:val="0"/>
        </w:rPr>
        <w:t xml:space="preserve">2. El Problema de la Etiqueta Ancla (&lt;a&gt;) Tradicional</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color w:val="000000"/>
        </w:rPr>
      </w:pPr>
      <w:r w:rsidDel="00000000" w:rsidR="00000000" w:rsidRPr="00000000">
        <w:rPr>
          <w:rFonts w:ascii="Arial" w:cs="Arial" w:eastAsia="Arial" w:hAnsi="Arial"/>
          <w:color w:val="000000"/>
          <w:rtl w:val="0"/>
        </w:rPr>
        <w:t xml:space="preserve">En un flujo de desarrollo convencional con HTML, la navegación se gestiona mediante la etiqueta ancla (&lt;a href="/contacto"&gt;). Sin embargo, utilizar este elemento dentro de una SPA en React constituye un antipatrón arquitectónico crítico.</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color w:val="000000"/>
        </w:rPr>
      </w:pPr>
      <w:r w:rsidDel="00000000" w:rsidR="00000000" w:rsidRPr="00000000">
        <w:rPr>
          <w:rFonts w:ascii="Arial" w:cs="Arial" w:eastAsia="Arial" w:hAnsi="Arial"/>
          <w:color w:val="000000"/>
          <w:rtl w:val="0"/>
        </w:rPr>
        <w:t xml:space="preserve">Cuando un usuario hace clic en una etiqueta &lt;a&gt; estándar, el navegador ejecuta su comportamiento por defecto: interrumpe el proceso actual, descarta la memoria de la pestaña activa (destruyendo irrevocablemente todo el estado manejado por useState, Context o Redux) y realiza una nueva petición de red al servidor. Esto anula por completo las ventajas de rendimiento de una SPA. Para resolver este conflicto, se requiere un sistema que intercepte el cambio de URL y actualice la interfaz internamente, rol que cumple la biblioteca </w:t>
      </w:r>
      <w:r w:rsidDel="00000000" w:rsidR="00000000" w:rsidRPr="00000000">
        <w:rPr>
          <w:rFonts w:ascii="Arial" w:cs="Arial" w:eastAsia="Arial" w:hAnsi="Arial"/>
          <w:b w:val="1"/>
          <w:bCs w:val="1"/>
          <w:color w:val="000000"/>
          <w:rtl w:val="0"/>
        </w:rPr>
        <w:t xml:space="preserve">React Router</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after="300" w:line="300" w:lineRule="auto"/>
        <w:rPr>
          <w:rFonts w:ascii="Arial" w:cs="Arial" w:eastAsia="Arial" w:hAnsi="Arial"/>
          <w:color w:val="2b6cb0"/>
        </w:rPr>
      </w:pPr>
      <w:r w:rsidDel="00000000" w:rsidR="00000000" w:rsidRPr="00000000">
        <w:rPr>
          <w:rFonts w:ascii="Arial" w:cs="Arial" w:eastAsia="Arial" w:hAnsi="Arial"/>
          <w:color w:val="2b6cb0"/>
          <w:rtl w:val="0"/>
        </w:rPr>
        <w:t xml:space="preserve">3. Componentes Fundamentales de React Router</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color w:val="000000"/>
        </w:rPr>
      </w:pPr>
      <w:r w:rsidDel="00000000" w:rsidR="00000000" w:rsidRPr="00000000">
        <w:rPr>
          <w:rFonts w:ascii="Arial" w:cs="Arial" w:eastAsia="Arial" w:hAnsi="Arial"/>
          <w:color w:val="000000"/>
          <w:rtl w:val="0"/>
        </w:rPr>
        <w:t xml:space="preserve">La gestión de rutas se orquesta mediante una jerarquía estricta de componentes especializados provistos por react-router-dom:</w:t>
      </w:r>
    </w:p>
    <w:tbl>
      <w:tblPr>
        <w:tblStyle w:val="Table1"/>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f7fafc" w:val="clear"/>
            <w:tcMar>
              <w:top w:w="180.0" w:type="dxa"/>
              <w:left w:w="180.0" w:type="dxa"/>
              <w:bottom w:w="18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b w:val="1"/>
                <w:bCs w:val="1"/>
                <w:color w:val="000000"/>
                <w:shd w:fill="auto" w:val="clear"/>
              </w:rPr>
            </w:pPr>
            <w:r w:rsidDel="00000000" w:rsidR="00000000" w:rsidRPr="00000000">
              <w:rPr>
                <w:rFonts w:ascii="Arial" w:cs="Arial" w:eastAsia="Arial" w:hAnsi="Arial"/>
                <w:b w:val="1"/>
                <w:bCs w:val="1"/>
                <w:color w:val="000000"/>
                <w:shd w:fill="auto" w:val="clear"/>
                <w:rtl w:val="0"/>
              </w:rPr>
              <w:t xml:space="preserve">Componente</w:t>
            </w:r>
          </w:p>
        </w:tc>
        <w:tc>
          <w:tcPr>
            <w:tcBorders>
              <w:top w:color="cbd5e0" w:space="0" w:sz="6" w:val="single"/>
              <w:left w:color="cbd5e0" w:space="0" w:sz="6" w:val="single"/>
              <w:bottom w:color="cbd5e0" w:space="0" w:sz="6" w:val="single"/>
              <w:right w:color="cbd5e0" w:space="0" w:sz="6" w:val="single"/>
            </w:tcBorders>
            <w:shd w:fill="f7fafc" w:val="clear"/>
            <w:tcMar>
              <w:top w:w="180.0" w:type="dxa"/>
              <w:left w:w="180.0" w:type="dxa"/>
              <w:bottom w:w="18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b w:val="1"/>
                <w:bCs w:val="1"/>
                <w:color w:val="000000"/>
                <w:shd w:fill="auto" w:val="clear"/>
              </w:rPr>
            </w:pPr>
            <w:r w:rsidDel="00000000" w:rsidR="00000000" w:rsidRPr="00000000">
              <w:rPr>
                <w:rFonts w:ascii="Arial" w:cs="Arial" w:eastAsia="Arial" w:hAnsi="Arial"/>
                <w:b w:val="1"/>
                <w:bCs w:val="1"/>
                <w:color w:val="000000"/>
                <w:shd w:fill="auto" w:val="clear"/>
                <w:rtl w:val="0"/>
              </w:rPr>
              <w:t xml:space="preserve">Propósito Arquitectónico</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000000"/>
              </w:rPr>
            </w:pPr>
            <w:r w:rsidDel="00000000" w:rsidR="00000000" w:rsidRPr="00000000">
              <w:rPr>
                <w:rFonts w:ascii="Arial" w:cs="Arial" w:eastAsia="Arial" w:hAnsi="Arial"/>
                <w:color w:val="000000"/>
                <w:rtl w:val="0"/>
              </w:rPr>
              <w:t xml:space="preserve"> </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BrowserRouter</w:t>
            </w:r>
          </w:p>
        </w:tc>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Actúa como el proveedor de contexto (Context Provider) principal. Se envuelve alrededor de la aplicación entera y se conecta directamente a la </w:t>
            </w:r>
            <w:r w:rsidDel="00000000" w:rsidR="00000000" w:rsidRPr="00000000">
              <w:rPr>
                <w:rFonts w:ascii="Arial" w:cs="Arial" w:eastAsia="Arial" w:hAnsi="Arial"/>
                <w:i w:val="1"/>
                <w:iCs w:val="1"/>
                <w:color w:val="000000"/>
                <w:rtl w:val="0"/>
              </w:rPr>
              <w:t xml:space="preserve">History API</w:t>
            </w:r>
            <w:r w:rsidDel="00000000" w:rsidR="00000000" w:rsidRPr="00000000">
              <w:rPr>
                <w:rFonts w:ascii="Arial" w:cs="Arial" w:eastAsia="Arial" w:hAnsi="Arial"/>
                <w:color w:val="000000"/>
                <w:rtl w:val="0"/>
              </w:rPr>
              <w:t xml:space="preserve"> de HTML5 del navegador, permitiendo mantener sincronizada la interfaz de React con la barra de direcciones URL.</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Routes</w:t>
            </w:r>
          </w:p>
        </w:tc>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Un contenedor inteligente que evalúa todas sus rutas hijas. Su función es iterar sobre ellas, encontrar la mejor coincidencia (best match) con la URL actual y renderizar exclusivamente esa rama del árbol de componentes, ignorando el resto.</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Route</w:t>
            </w:r>
          </w:p>
        </w:tc>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Define el mapeo estricto entre un segmento de URL (prop path) y un componente React específico (prop element) que debe ser inyectado en la interfaz cuando dicha URL se activa.</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Link</w:t>
            </w:r>
          </w:p>
        </w:tc>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El sustituto técnico de la etiqueta &lt;a&gt;. Renderiza visualmente un ancla accesible (a level DOM), pero intercepta programáticamente el evento de clic (preventDefault), actualiza la URL utilizando history.pushState y notifica a BrowserRouter para desencadenar el re-renderizado sin recargar el documento.</w:t>
            </w:r>
          </w:p>
        </w:tc>
      </w:tr>
    </w:tbl>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25" w:before="375" w:line="30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after="300" w:line="300" w:lineRule="auto"/>
        <w:rPr>
          <w:rFonts w:ascii="Arial" w:cs="Arial" w:eastAsia="Arial" w:hAnsi="Arial"/>
          <w:color w:val="2b6cb0"/>
        </w:rPr>
      </w:pPr>
      <w:r w:rsidDel="00000000" w:rsidR="00000000" w:rsidRPr="00000000">
        <w:rPr>
          <w:rFonts w:ascii="Arial" w:cs="Arial" w:eastAsia="Arial" w:hAnsi="Arial"/>
          <w:color w:val="2b6cb0"/>
          <w:rtl w:val="0"/>
        </w:rPr>
        <w:t xml:space="preserve">4. Mecánica de Definición y Navegación sin Recarga</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color w:val="000000"/>
        </w:rPr>
      </w:pPr>
      <w:r w:rsidDel="00000000" w:rsidR="00000000" w:rsidRPr="00000000">
        <w:rPr>
          <w:rFonts w:ascii="Arial" w:cs="Arial" w:eastAsia="Arial" w:hAnsi="Arial"/>
          <w:color w:val="000000"/>
          <w:rtl w:val="0"/>
        </w:rPr>
        <w:t xml:space="preserve">La mecánica operativa de React Router es un ejercicio de sincronización de estados distribuidos. Cuando un usuario interactúa con un componente &lt;Link to="/dashboard"&gt;, ocurren los siguientes procesos en microsegundos:</w:t>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hd w:fill="auto" w:val="clear"/>
        <w:spacing w:after="0" w:afterAutospacing="0" w:line="300" w:lineRule="auto"/>
        <w:ind w:left="600" w:hanging="360"/>
      </w:pPr>
      <w:r w:rsidDel="00000000" w:rsidR="00000000" w:rsidRPr="00000000">
        <w:rPr>
          <w:rFonts w:ascii="Arial" w:cs="Arial" w:eastAsia="Arial" w:hAnsi="Arial"/>
          <w:color w:val="000000"/>
          <w:rtl w:val="0"/>
        </w:rPr>
        <w:t xml:space="preserve">Se previene la petición HTTP nativa hacia el servidor.</w:t>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600" w:hanging="360"/>
      </w:pPr>
      <w:r w:rsidDel="00000000" w:rsidR="00000000" w:rsidRPr="00000000">
        <w:rPr>
          <w:rFonts w:ascii="Arial" w:cs="Arial" w:eastAsia="Arial" w:hAnsi="Arial"/>
          <w:color w:val="000000"/>
          <w:rtl w:val="0"/>
        </w:rPr>
        <w:t xml:space="preserve">Se muta la barra de direcciones del navegador localmente.</w:t>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600" w:hanging="360"/>
      </w:pPr>
      <w:r w:rsidDel="00000000" w:rsidR="00000000" w:rsidRPr="00000000">
        <w:rPr>
          <w:rFonts w:ascii="Arial" w:cs="Arial" w:eastAsia="Arial" w:hAnsi="Arial"/>
          <w:color w:val="000000"/>
          <w:rtl w:val="0"/>
        </w:rPr>
        <w:t xml:space="preserve">BrowserRouter detecta este cambio de URL y propaga el nuevo estado hacia abajo en el árbol de componentes.</w:t>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hd w:fill="auto" w:val="clear"/>
        <w:spacing w:after="75" w:before="0" w:beforeAutospacing="0" w:line="300" w:lineRule="auto"/>
        <w:ind w:left="600" w:hanging="360"/>
      </w:pPr>
      <w:r w:rsidDel="00000000" w:rsidR="00000000" w:rsidRPr="00000000">
        <w:rPr>
          <w:rFonts w:ascii="Arial" w:cs="Arial" w:eastAsia="Arial" w:hAnsi="Arial"/>
          <w:color w:val="000000"/>
          <w:rtl w:val="0"/>
        </w:rPr>
        <w:t xml:space="preserve">El componente Routes re-evalúa sus hijos y desmonta la vista anterior (por ejemplo, el inicio), para instanciar y montar el componente declarado en el nuevo Route coincidente.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25" w:before="225" w:line="300" w:lineRule="auto"/>
        <w:rPr>
          <w:rFonts w:ascii="Arial" w:cs="Arial" w:eastAsia="Arial" w:hAnsi="Arial"/>
          <w:color w:val="000000"/>
        </w:rPr>
      </w:pPr>
      <w:r w:rsidDel="00000000" w:rsidR="00000000" w:rsidRPr="00000000">
        <w:rPr>
          <w:rFonts w:ascii="Arial" w:cs="Arial" w:eastAsia="Arial" w:hAnsi="Arial"/>
          <w:color w:val="000000"/>
          <w:rtl w:val="0"/>
        </w:rPr>
        <w:t xml:space="preserve">Este flujo garantiza que la memoria compartida de la aplicación permanezca intacta, logrando transiciones fluidas y una experiencia de usuario (UX) ininterrumpida, característica insignia de la ingeniería frontend moderna.</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